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F67CF" w14:textId="77777777" w:rsidR="00757519" w:rsidRPr="00CD6054" w:rsidRDefault="00757519" w:rsidP="00CD6054">
      <w:pPr>
        <w:pStyle w:val="Heading1"/>
      </w:pPr>
      <w:bookmarkStart w:id="0" w:name="_GoBack"/>
      <w:bookmarkEnd w:id="0"/>
      <w:r w:rsidRPr="00CD6054">
        <w:t>Policy statement</w:t>
      </w:r>
    </w:p>
    <w:p w14:paraId="643E49BD" w14:textId="7785F509" w:rsidR="00757519" w:rsidRPr="00CD6054" w:rsidRDefault="00CD6054" w:rsidP="00CD6054">
      <w:pPr>
        <w:ind w:left="720" w:hanging="720"/>
        <w:rPr>
          <w:rFonts w:cs="Arial"/>
        </w:rPr>
      </w:pPr>
      <w:r>
        <w:rPr>
          <w:rFonts w:cs="Arial"/>
        </w:rPr>
        <w:t>1.1</w:t>
      </w:r>
      <w:r>
        <w:rPr>
          <w:rFonts w:cs="Arial"/>
        </w:rPr>
        <w:tab/>
      </w:r>
      <w:r w:rsidR="00757519" w:rsidRPr="00CD6054">
        <w:rPr>
          <w:rFonts w:cs="Arial"/>
        </w:rPr>
        <w:t>It is important to respect and protect the confidential information we hold at Leonard Cheshire (LC) of people who use our services. Confidential information may be personal to an individual, or to LC as a charity.</w:t>
      </w:r>
    </w:p>
    <w:p w14:paraId="449FB3D2" w14:textId="77777777" w:rsidR="00757519" w:rsidRPr="00CD6054" w:rsidRDefault="00757519" w:rsidP="00757519">
      <w:pPr>
        <w:rPr>
          <w:rFonts w:cs="Arial"/>
        </w:rPr>
      </w:pPr>
    </w:p>
    <w:p w14:paraId="3DC2692A" w14:textId="2F21241B" w:rsidR="00757519" w:rsidRPr="00CD6054" w:rsidRDefault="00CD6054" w:rsidP="00CD6054">
      <w:pPr>
        <w:ind w:left="720" w:hanging="720"/>
        <w:rPr>
          <w:rFonts w:cs="Arial"/>
        </w:rPr>
      </w:pPr>
      <w:r>
        <w:rPr>
          <w:rFonts w:cs="Arial"/>
        </w:rPr>
        <w:t>1.2</w:t>
      </w:r>
      <w:r>
        <w:rPr>
          <w:rFonts w:cs="Arial"/>
        </w:rPr>
        <w:tab/>
      </w:r>
      <w:r w:rsidR="00757519" w:rsidRPr="00CD6054">
        <w:rPr>
          <w:rFonts w:cs="Arial"/>
        </w:rPr>
        <w:t>We have a duty to treat the information we hold about the people we provide services to in the strictest of confidence. People need to have confidence that anything they tell us which relates to their care and wellbeing will only be disclosed appropriately.</w:t>
      </w:r>
    </w:p>
    <w:p w14:paraId="66493CFB" w14:textId="77777777" w:rsidR="00757519" w:rsidRPr="00CD6054" w:rsidRDefault="00757519" w:rsidP="00757519">
      <w:pPr>
        <w:rPr>
          <w:rFonts w:cs="Arial"/>
        </w:rPr>
      </w:pPr>
    </w:p>
    <w:p w14:paraId="22B56963" w14:textId="6EBC70B6" w:rsidR="00757519" w:rsidRPr="00CD6054" w:rsidRDefault="00CD6054" w:rsidP="00CD6054">
      <w:pPr>
        <w:ind w:left="720" w:hanging="720"/>
        <w:rPr>
          <w:rFonts w:cs="Arial"/>
        </w:rPr>
      </w:pPr>
      <w:r>
        <w:rPr>
          <w:rFonts w:cs="Arial"/>
        </w:rPr>
        <w:t>1.3</w:t>
      </w:r>
      <w:r>
        <w:rPr>
          <w:rFonts w:cs="Arial"/>
        </w:rPr>
        <w:tab/>
      </w:r>
      <w:r w:rsidR="00757519" w:rsidRPr="00CD6054">
        <w:rPr>
          <w:rFonts w:cs="Arial"/>
        </w:rPr>
        <w:t xml:space="preserve">We will only share confidential information on a ‘need to know’ basis in line with professional practice, unless legal or regulatory requirements necessitate greater disclosure. </w:t>
      </w:r>
    </w:p>
    <w:p w14:paraId="2498CCA4" w14:textId="77777777" w:rsidR="00757519" w:rsidRPr="00CD6054" w:rsidRDefault="00757519" w:rsidP="00CD6054">
      <w:pPr>
        <w:pStyle w:val="Heading1"/>
        <w:rPr>
          <w:i/>
        </w:rPr>
      </w:pPr>
      <w:r w:rsidRPr="00CD6054">
        <w:t>Purpose and scope</w:t>
      </w:r>
    </w:p>
    <w:p w14:paraId="14EF629B" w14:textId="4A959F4A" w:rsidR="00757519" w:rsidRPr="00CD6054" w:rsidRDefault="00CD6054" w:rsidP="00CD6054">
      <w:pPr>
        <w:tabs>
          <w:tab w:val="left" w:pos="2160"/>
        </w:tabs>
        <w:ind w:left="720" w:hanging="720"/>
        <w:rPr>
          <w:rFonts w:cs="Arial"/>
        </w:rPr>
      </w:pPr>
      <w:r>
        <w:rPr>
          <w:rFonts w:cs="Arial"/>
        </w:rPr>
        <w:t>2.1</w:t>
      </w:r>
      <w:r>
        <w:rPr>
          <w:rFonts w:cs="Arial"/>
        </w:rPr>
        <w:tab/>
      </w:r>
      <w:r w:rsidR="00757519" w:rsidRPr="00CD6054">
        <w:rPr>
          <w:rFonts w:cs="Arial"/>
        </w:rPr>
        <w:t>Whenever possible, informed consent will be gained from people who use our services, or their nominated representative, before confidential information is appropriately shared. LC acknowledges that there are exceptional circumstances where it may be required to disclose information without the consent of the individual concerned. The Data Protection Act 1998 ensures that we protect confidential information and details what information can be passed on.  Where it is legally permissible to do so, LC will make the individual concerned aware of the information to be disclosed, and why it is necessary to disclose it. This policy applies to all our services in the UK.</w:t>
      </w:r>
    </w:p>
    <w:p w14:paraId="3EA6A289" w14:textId="77777777" w:rsidR="00757519" w:rsidRPr="00CD6054" w:rsidRDefault="00757519" w:rsidP="00CD6054">
      <w:pPr>
        <w:pStyle w:val="Heading1"/>
      </w:pPr>
      <w:r w:rsidRPr="00CD6054">
        <w:t>Policy basis</w:t>
      </w:r>
    </w:p>
    <w:p w14:paraId="19B62D86" w14:textId="5106B640" w:rsidR="00757519" w:rsidRPr="00CD6054" w:rsidRDefault="00CD6054" w:rsidP="00CD6054">
      <w:pPr>
        <w:pStyle w:val="ListParagraph"/>
        <w:ind w:hanging="720"/>
        <w:rPr>
          <w:rFonts w:ascii="Arial" w:hAnsi="Arial" w:cs="Arial"/>
        </w:rPr>
      </w:pPr>
      <w:r>
        <w:rPr>
          <w:rFonts w:ascii="Arial" w:hAnsi="Arial" w:cs="Arial"/>
        </w:rPr>
        <w:t>3.1</w:t>
      </w:r>
      <w:r>
        <w:rPr>
          <w:rFonts w:ascii="Arial" w:hAnsi="Arial" w:cs="Arial"/>
        </w:rPr>
        <w:tab/>
      </w:r>
      <w:r w:rsidR="00757519" w:rsidRPr="00CD6054">
        <w:rPr>
          <w:rFonts w:ascii="Arial" w:hAnsi="Arial" w:cs="Arial"/>
        </w:rPr>
        <w:t>There is no single statute that governs the law of confidentiality, but it has developed through case law and is supported by various statutes.</w:t>
      </w:r>
    </w:p>
    <w:p w14:paraId="7CFD39A7" w14:textId="77777777" w:rsidR="00757519" w:rsidRPr="00CD6054" w:rsidRDefault="00757519" w:rsidP="00CD6054">
      <w:pPr>
        <w:pStyle w:val="ListParagraph"/>
        <w:numPr>
          <w:ilvl w:val="0"/>
          <w:numId w:val="27"/>
        </w:numPr>
        <w:spacing w:before="120"/>
        <w:rPr>
          <w:rFonts w:ascii="Arial" w:hAnsi="Arial" w:cs="Arial"/>
        </w:rPr>
      </w:pPr>
      <w:r w:rsidRPr="00CD6054">
        <w:rPr>
          <w:rFonts w:ascii="Arial" w:hAnsi="Arial" w:cs="Arial"/>
        </w:rPr>
        <w:t>The Data Protection Act 1998 (DPA) governs the processing of information, including the storing, obtaining, using, and disclosing of confidential patient information</w:t>
      </w:r>
    </w:p>
    <w:p w14:paraId="1999C2EB" w14:textId="77777777" w:rsidR="00757519" w:rsidRPr="00CD6054" w:rsidRDefault="00757519" w:rsidP="00CD6054">
      <w:pPr>
        <w:pStyle w:val="ListParagraph"/>
        <w:numPr>
          <w:ilvl w:val="0"/>
          <w:numId w:val="27"/>
        </w:numPr>
        <w:spacing w:before="120"/>
        <w:rPr>
          <w:rFonts w:ascii="Arial" w:hAnsi="Arial" w:cs="Arial"/>
        </w:rPr>
      </w:pPr>
      <w:r w:rsidRPr="00CD6054">
        <w:rPr>
          <w:rFonts w:ascii="Arial" w:hAnsi="Arial" w:cs="Arial"/>
        </w:rPr>
        <w:t>The Computer Misuse Act 1990 makes it a criminal offence for a person to access a database to gain confidential information to which the person is not authorised</w:t>
      </w:r>
    </w:p>
    <w:p w14:paraId="3AD75F9A" w14:textId="77777777" w:rsidR="00757519" w:rsidRPr="00CD6054" w:rsidRDefault="00757519" w:rsidP="00CD6054">
      <w:pPr>
        <w:pStyle w:val="ListParagraph"/>
        <w:numPr>
          <w:ilvl w:val="0"/>
          <w:numId w:val="27"/>
        </w:numPr>
        <w:spacing w:before="120"/>
        <w:rPr>
          <w:rFonts w:ascii="Arial" w:hAnsi="Arial" w:cs="Arial"/>
        </w:rPr>
      </w:pPr>
      <w:r w:rsidRPr="00CD6054">
        <w:rPr>
          <w:rFonts w:ascii="Arial" w:hAnsi="Arial" w:cs="Arial"/>
        </w:rPr>
        <w:t>According to the British Medical Association (BMA), all identifiable patient information held by a healthcare professional in any form is confidential. This information encompasses, for example, clinical information, images of the patient, who the patient's doctor is, what clinics the patient attends and when, and anything else that may be used to identify a patient directly or indirectly</w:t>
      </w:r>
    </w:p>
    <w:p w14:paraId="737B738E" w14:textId="77777777" w:rsidR="00757519" w:rsidRPr="00CD6054" w:rsidRDefault="00757519" w:rsidP="00CD6054">
      <w:pPr>
        <w:pStyle w:val="ListParagraph"/>
        <w:numPr>
          <w:ilvl w:val="0"/>
          <w:numId w:val="27"/>
        </w:numPr>
        <w:spacing w:before="120"/>
        <w:rPr>
          <w:rFonts w:cs="Arial"/>
        </w:rPr>
      </w:pPr>
      <w:r w:rsidRPr="00CD6054">
        <w:rPr>
          <w:rFonts w:ascii="Arial" w:hAnsi="Arial" w:cs="Arial"/>
        </w:rPr>
        <w:t>The House of Lords recognised that medical information is 'obviously private' and should be protected under the European Convention on Human Rights, Article 8,5 (the right to respect for private and family life), which ultimately protects the dignity and autonomy of a person</w:t>
      </w:r>
    </w:p>
    <w:p w14:paraId="620CFBE8" w14:textId="2322FB4F" w:rsidR="00757519" w:rsidRPr="00CD6054" w:rsidRDefault="00CD6054" w:rsidP="00CD6054">
      <w:pPr>
        <w:pStyle w:val="ListParagraph"/>
        <w:spacing w:before="240"/>
        <w:ind w:hanging="720"/>
        <w:contextualSpacing w:val="0"/>
        <w:rPr>
          <w:rFonts w:ascii="Arial" w:hAnsi="Arial" w:cs="Arial"/>
        </w:rPr>
      </w:pPr>
      <w:r>
        <w:rPr>
          <w:rFonts w:ascii="Arial" w:hAnsi="Arial" w:cs="Arial"/>
        </w:rPr>
        <w:t>3.2</w:t>
      </w:r>
      <w:r>
        <w:rPr>
          <w:rFonts w:ascii="Arial" w:hAnsi="Arial" w:cs="Arial"/>
        </w:rPr>
        <w:tab/>
      </w:r>
      <w:r w:rsidR="00757519" w:rsidRPr="00CD6054">
        <w:rPr>
          <w:rFonts w:ascii="Arial" w:hAnsi="Arial" w:cs="Arial"/>
        </w:rPr>
        <w:t>The duty of confidentiality continues after a person dies, especially if the person asked for information to remain confidential.</w:t>
      </w:r>
    </w:p>
    <w:p w14:paraId="2728CDB9" w14:textId="77777777" w:rsidR="00757519" w:rsidRPr="00CD6054" w:rsidRDefault="00757519" w:rsidP="00757519">
      <w:pPr>
        <w:pStyle w:val="ListParagraph"/>
        <w:spacing w:before="240"/>
        <w:ind w:left="0"/>
        <w:contextualSpacing w:val="0"/>
        <w:rPr>
          <w:rFonts w:ascii="Arial" w:hAnsi="Arial" w:cs="Arial"/>
        </w:rPr>
      </w:pPr>
    </w:p>
    <w:p w14:paraId="6368EEE6" w14:textId="77777777" w:rsidR="00757519" w:rsidRPr="00CD6054" w:rsidRDefault="00757519" w:rsidP="00CD6054">
      <w:pPr>
        <w:pStyle w:val="Heading1"/>
        <w:rPr>
          <w:i/>
          <w:iCs/>
        </w:rPr>
      </w:pPr>
      <w:r w:rsidRPr="00CD6054">
        <w:t>Procedure</w:t>
      </w:r>
    </w:p>
    <w:p w14:paraId="4BA1CC57" w14:textId="120396D9" w:rsidR="00757519" w:rsidRPr="00CD6054" w:rsidRDefault="00CD6054" w:rsidP="00757519">
      <w:pPr>
        <w:rPr>
          <w:rFonts w:cs="Arial"/>
        </w:rPr>
      </w:pPr>
      <w:r>
        <w:rPr>
          <w:rFonts w:cs="Arial"/>
        </w:rPr>
        <w:t>4.1</w:t>
      </w:r>
      <w:r>
        <w:rPr>
          <w:rFonts w:cs="Arial"/>
        </w:rPr>
        <w:tab/>
      </w:r>
      <w:r w:rsidR="00757519" w:rsidRPr="00CD6054">
        <w:rPr>
          <w:rFonts w:cs="Arial"/>
        </w:rPr>
        <w:t>Line managers are responsible for ensuring that:</w:t>
      </w:r>
    </w:p>
    <w:p w14:paraId="1928F6D5" w14:textId="77777777" w:rsidR="00757519" w:rsidRPr="00CD6054" w:rsidRDefault="00757519" w:rsidP="00757519">
      <w:pPr>
        <w:rPr>
          <w:rFonts w:cs="Arial"/>
        </w:rPr>
      </w:pPr>
    </w:p>
    <w:p w14:paraId="5391F8F5"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Information obtained by employees or volunteers about a person using the service or their family, while supporting them, is treated as confidential</w:t>
      </w:r>
    </w:p>
    <w:p w14:paraId="2208B5F5" w14:textId="77777777" w:rsidR="00757519" w:rsidRPr="00CD6054" w:rsidRDefault="00757519" w:rsidP="00CD6054">
      <w:pPr>
        <w:ind w:left="1440"/>
        <w:rPr>
          <w:rFonts w:cs="Arial"/>
        </w:rPr>
      </w:pPr>
    </w:p>
    <w:p w14:paraId="43394182"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 xml:space="preserve">Confidential information is not passed on to others without the permission of the service manager or head of department </w:t>
      </w:r>
    </w:p>
    <w:p w14:paraId="0692F956" w14:textId="77777777" w:rsidR="00757519" w:rsidRPr="00CD6054" w:rsidRDefault="00757519" w:rsidP="00CD6054">
      <w:pPr>
        <w:ind w:left="720"/>
        <w:rPr>
          <w:rFonts w:cs="Arial"/>
        </w:rPr>
      </w:pPr>
    </w:p>
    <w:p w14:paraId="4F741B4D"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Where an employee or volunteer has knowledge or information about a person who uses our services gained prior to their joining the service, they should inform the service manager or volunteer co-ordinator of that fact, in order to avoid a potential compromising situation</w:t>
      </w:r>
    </w:p>
    <w:p w14:paraId="3448489E" w14:textId="77777777" w:rsidR="00757519" w:rsidRPr="00CD6054" w:rsidRDefault="00757519" w:rsidP="00CD6054">
      <w:pPr>
        <w:ind w:left="720"/>
        <w:rPr>
          <w:rFonts w:cs="Arial"/>
        </w:rPr>
      </w:pPr>
    </w:p>
    <w:p w14:paraId="5416A19A"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Employees/volunteers are aware that a breach of confidentiality is regarded as a serious breach of trust</w:t>
      </w:r>
    </w:p>
    <w:p w14:paraId="03426060" w14:textId="77777777" w:rsidR="00757519" w:rsidRPr="00CD6054" w:rsidRDefault="00757519" w:rsidP="00CD6054">
      <w:pPr>
        <w:ind w:left="720"/>
        <w:rPr>
          <w:rFonts w:cs="Arial"/>
        </w:rPr>
      </w:pPr>
    </w:p>
    <w:p w14:paraId="2477E4AB"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Any breach of confidentiality on the part of a member of staff may lead to investigation and possible disciplinary action which could include dismissal</w:t>
      </w:r>
    </w:p>
    <w:p w14:paraId="268C4AE4" w14:textId="77777777" w:rsidR="00757519" w:rsidRPr="00CD6054" w:rsidRDefault="00757519" w:rsidP="00CD6054">
      <w:pPr>
        <w:ind w:left="1440"/>
        <w:rPr>
          <w:rFonts w:cs="Arial"/>
        </w:rPr>
      </w:pPr>
    </w:p>
    <w:p w14:paraId="6F21E458"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People using our services are informed of the need to respect the rights of others when they are in receipt of information which is of a confidential nature</w:t>
      </w:r>
    </w:p>
    <w:p w14:paraId="0241E3CE" w14:textId="77777777" w:rsidR="00757519" w:rsidRPr="00CD6054" w:rsidRDefault="00757519" w:rsidP="00CD6054">
      <w:pPr>
        <w:ind w:left="720"/>
        <w:rPr>
          <w:rFonts w:cs="Arial"/>
        </w:rPr>
      </w:pPr>
    </w:p>
    <w:p w14:paraId="34CD159A"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Volunteers are aware that breaches of confidentiality may result in their exclusion from the organisation</w:t>
      </w:r>
    </w:p>
    <w:p w14:paraId="3AC27E87" w14:textId="77777777" w:rsidR="00757519" w:rsidRPr="00CD6054" w:rsidRDefault="00757519" w:rsidP="00CD6054">
      <w:pPr>
        <w:pStyle w:val="ListParagraph"/>
        <w:ind w:left="1440"/>
        <w:rPr>
          <w:rFonts w:ascii="Arial" w:hAnsi="Arial" w:cs="Arial"/>
        </w:rPr>
      </w:pPr>
    </w:p>
    <w:p w14:paraId="527CD9C2"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Confidential information is only given on the telephone when caller recognition has been established and the individual’s permission has been given</w:t>
      </w:r>
    </w:p>
    <w:p w14:paraId="1ABAC3B7" w14:textId="77777777" w:rsidR="00757519" w:rsidRPr="00CD6054" w:rsidRDefault="00757519" w:rsidP="00CD6054">
      <w:pPr>
        <w:pStyle w:val="ListParagraph"/>
        <w:ind w:left="1440"/>
        <w:rPr>
          <w:rFonts w:ascii="Arial" w:hAnsi="Arial" w:cs="Arial"/>
        </w:rPr>
      </w:pPr>
    </w:p>
    <w:p w14:paraId="09F30DF6" w14:textId="77777777" w:rsidR="00757519" w:rsidRPr="00CD6054" w:rsidRDefault="00757519" w:rsidP="00CD6054">
      <w:pPr>
        <w:numPr>
          <w:ilvl w:val="0"/>
          <w:numId w:val="24"/>
        </w:numPr>
        <w:tabs>
          <w:tab w:val="clear" w:pos="720"/>
          <w:tab w:val="num" w:pos="1440"/>
        </w:tabs>
        <w:ind w:left="1440"/>
        <w:rPr>
          <w:rFonts w:cs="Arial"/>
        </w:rPr>
      </w:pPr>
      <w:r w:rsidRPr="00CD6054">
        <w:rPr>
          <w:rFonts w:cs="Arial"/>
        </w:rPr>
        <w:t>Employees and volunteers comply with the Data Protection Policy, the Classification &amp; Handling of Information &amp; Data Guidelines and other related guidance</w:t>
      </w:r>
    </w:p>
    <w:p w14:paraId="4C6B5EF9" w14:textId="77777777" w:rsidR="00757519" w:rsidRPr="00CD6054" w:rsidRDefault="00757519" w:rsidP="00757519">
      <w:pPr>
        <w:pStyle w:val="ListParagraph"/>
        <w:rPr>
          <w:rFonts w:ascii="Arial" w:hAnsi="Arial" w:cs="Arial"/>
        </w:rPr>
      </w:pPr>
    </w:p>
    <w:p w14:paraId="4E2750AC" w14:textId="73F03E54" w:rsidR="00757519" w:rsidRPr="00CD6054" w:rsidRDefault="00CD6054" w:rsidP="00CD6054">
      <w:pPr>
        <w:ind w:left="720" w:hanging="720"/>
        <w:rPr>
          <w:rFonts w:cs="Arial"/>
        </w:rPr>
      </w:pPr>
      <w:r>
        <w:rPr>
          <w:rFonts w:cs="Arial"/>
        </w:rPr>
        <w:t>4.2</w:t>
      </w:r>
      <w:r>
        <w:rPr>
          <w:rFonts w:cs="Arial"/>
        </w:rPr>
        <w:tab/>
      </w:r>
      <w:r w:rsidR="00757519" w:rsidRPr="00CD6054">
        <w:rPr>
          <w:rFonts w:cs="Arial"/>
        </w:rPr>
        <w:t>Further guidance on how staff manage personal or confidential information is detailed in of the Classification &amp; Handling of Information &amp; Data Guidelines.</w:t>
      </w:r>
    </w:p>
    <w:p w14:paraId="554EA4A2" w14:textId="77777777" w:rsidR="00757519" w:rsidRPr="00CD6054" w:rsidRDefault="00757519" w:rsidP="00757519">
      <w:pPr>
        <w:rPr>
          <w:rFonts w:cs="Arial"/>
        </w:rPr>
      </w:pPr>
    </w:p>
    <w:p w14:paraId="450EC600" w14:textId="4C626382" w:rsidR="00757519" w:rsidRPr="00CD6054" w:rsidRDefault="00CD6054" w:rsidP="00CD6054">
      <w:pPr>
        <w:ind w:left="720" w:hanging="720"/>
        <w:rPr>
          <w:rFonts w:cs="Arial"/>
        </w:rPr>
      </w:pPr>
      <w:r>
        <w:rPr>
          <w:rFonts w:cs="Arial"/>
        </w:rPr>
        <w:t>4.3</w:t>
      </w:r>
      <w:r>
        <w:rPr>
          <w:rFonts w:cs="Arial"/>
        </w:rPr>
        <w:tab/>
      </w:r>
      <w:r w:rsidR="00757519" w:rsidRPr="00CD6054">
        <w:rPr>
          <w:rFonts w:cs="Arial"/>
        </w:rPr>
        <w:t>Support and care plans for people who use our services can only be accessed by those that have responsibility to deliver the service, or ensure the service is doing as it should be (such as an internal audit). The Consent Form within each person’s personal plan will detail with whom the information can be shared with.</w:t>
      </w:r>
    </w:p>
    <w:p w14:paraId="62CEBE19" w14:textId="77777777" w:rsidR="00757519" w:rsidRPr="00CD6054" w:rsidRDefault="00757519" w:rsidP="00757519">
      <w:pPr>
        <w:rPr>
          <w:rFonts w:cs="Arial"/>
        </w:rPr>
      </w:pPr>
    </w:p>
    <w:p w14:paraId="305FA597" w14:textId="7E78E237" w:rsidR="00757519" w:rsidRPr="00CD6054" w:rsidRDefault="00CD6054" w:rsidP="00CD6054">
      <w:pPr>
        <w:ind w:left="720" w:hanging="720"/>
        <w:rPr>
          <w:rFonts w:cs="Arial"/>
        </w:rPr>
      </w:pPr>
      <w:r>
        <w:rPr>
          <w:rFonts w:cs="Arial"/>
        </w:rPr>
        <w:lastRenderedPageBreak/>
        <w:t>4.4</w:t>
      </w:r>
      <w:r>
        <w:rPr>
          <w:rFonts w:cs="Arial"/>
        </w:rPr>
        <w:tab/>
      </w:r>
      <w:r w:rsidR="00757519" w:rsidRPr="00CD6054">
        <w:rPr>
          <w:rFonts w:cs="Arial"/>
        </w:rPr>
        <w:t>Where an employee/manager receives a request for a copy of documentation or information from an external source, for example asking for a person’s care/support plans, and is uncertain about the appropriateness of the request, they must consult their line manager. It should not be assumed that family members have a right to access or see this information.</w:t>
      </w:r>
    </w:p>
    <w:p w14:paraId="606069E5" w14:textId="77777777" w:rsidR="00757519" w:rsidRPr="00CD6054" w:rsidRDefault="00757519" w:rsidP="00757519">
      <w:pPr>
        <w:ind w:left="720"/>
        <w:rPr>
          <w:rFonts w:cs="Arial"/>
        </w:rPr>
      </w:pPr>
    </w:p>
    <w:p w14:paraId="6DCB6070" w14:textId="5954F49E" w:rsidR="00757519" w:rsidRPr="00CD6054" w:rsidRDefault="00CD6054" w:rsidP="00CD6054">
      <w:pPr>
        <w:ind w:left="720" w:hanging="720"/>
        <w:rPr>
          <w:rFonts w:cs="Arial"/>
        </w:rPr>
      </w:pPr>
      <w:r>
        <w:rPr>
          <w:rFonts w:cs="Arial"/>
        </w:rPr>
        <w:t>4.5</w:t>
      </w:r>
      <w:r>
        <w:rPr>
          <w:rFonts w:cs="Arial"/>
        </w:rPr>
        <w:tab/>
      </w:r>
      <w:r w:rsidR="00757519" w:rsidRPr="00CD6054">
        <w:rPr>
          <w:rFonts w:cs="Arial"/>
        </w:rPr>
        <w:t xml:space="preserve">Confidential information about people who use our services, such as health and support plans, may only be shared by LCD with external organisations or partner agencies if they are directly involved in providing a service to the individual, and if the information is necessary to provide the service. This could include hospital visits or going on a holiday. Extreme care must be taken with what information is shared; if it can be defined as ‘restricted information’, as set out in the Classification &amp; Handling of Information &amp; Data Guidelines, then this data must </w:t>
      </w:r>
      <w:r w:rsidR="00757519" w:rsidRPr="00CD6054">
        <w:rPr>
          <w:rFonts w:cs="Arial"/>
          <w:b/>
          <w:u w:val="single"/>
        </w:rPr>
        <w:t>not</w:t>
      </w:r>
      <w:r w:rsidR="00757519" w:rsidRPr="00CD6054">
        <w:rPr>
          <w:rFonts w:cs="Arial"/>
        </w:rPr>
        <w:t xml:space="preserve"> be shared externally. </w:t>
      </w:r>
    </w:p>
    <w:p w14:paraId="2E3F9842" w14:textId="77777777" w:rsidR="00757519" w:rsidRPr="00CD6054" w:rsidRDefault="00757519" w:rsidP="00757519">
      <w:pPr>
        <w:rPr>
          <w:rFonts w:cs="Arial"/>
        </w:rPr>
      </w:pPr>
    </w:p>
    <w:p w14:paraId="58C0E149" w14:textId="51C686AA" w:rsidR="00757519" w:rsidRPr="00CD6054" w:rsidRDefault="00CD6054" w:rsidP="00CD6054">
      <w:pPr>
        <w:pStyle w:val="BodyTextIndent3"/>
        <w:ind w:hanging="720"/>
        <w:jc w:val="left"/>
        <w:rPr>
          <w:rFonts w:ascii="Arial" w:hAnsi="Arial" w:cs="Arial"/>
          <w:b w:val="0"/>
          <w:bCs w:val="0"/>
          <w:sz w:val="24"/>
          <w:szCs w:val="24"/>
        </w:rPr>
      </w:pPr>
      <w:r>
        <w:rPr>
          <w:rFonts w:ascii="Arial" w:hAnsi="Arial" w:cs="Arial"/>
          <w:b w:val="0"/>
          <w:bCs w:val="0"/>
          <w:sz w:val="24"/>
          <w:szCs w:val="24"/>
        </w:rPr>
        <w:t>4.6</w:t>
      </w:r>
      <w:r>
        <w:rPr>
          <w:rFonts w:ascii="Arial" w:hAnsi="Arial" w:cs="Arial"/>
          <w:b w:val="0"/>
          <w:bCs w:val="0"/>
          <w:sz w:val="24"/>
          <w:szCs w:val="24"/>
        </w:rPr>
        <w:tab/>
      </w:r>
      <w:r w:rsidR="00757519" w:rsidRPr="00CD6054">
        <w:rPr>
          <w:rFonts w:ascii="Arial" w:hAnsi="Arial" w:cs="Arial"/>
          <w:b w:val="0"/>
          <w:bCs w:val="0"/>
          <w:sz w:val="24"/>
          <w:szCs w:val="24"/>
        </w:rPr>
        <w:t>LC is also required to comply with certain legal duties to disclose information. In these cases it may not always be possible or appropriate to obtain consent to disclosure. This will include:</w:t>
      </w:r>
    </w:p>
    <w:p w14:paraId="7A8F8808" w14:textId="77777777" w:rsidR="00757519" w:rsidRPr="00CD6054" w:rsidRDefault="00757519" w:rsidP="00CD6054">
      <w:pPr>
        <w:numPr>
          <w:ilvl w:val="0"/>
          <w:numId w:val="22"/>
        </w:numPr>
        <w:tabs>
          <w:tab w:val="clear" w:pos="360"/>
        </w:tabs>
        <w:spacing w:before="120"/>
        <w:ind w:left="1854" w:hanging="567"/>
        <w:rPr>
          <w:rFonts w:cs="Arial"/>
        </w:rPr>
      </w:pPr>
      <w:r w:rsidRPr="00CD6054">
        <w:rPr>
          <w:rFonts w:cs="Arial"/>
        </w:rPr>
        <w:t>Court orders and warrants requiring disclosure of information.</w:t>
      </w:r>
    </w:p>
    <w:p w14:paraId="6F6284ED" w14:textId="77777777" w:rsidR="00757519" w:rsidRPr="00CD6054" w:rsidRDefault="00757519" w:rsidP="00CD6054">
      <w:pPr>
        <w:numPr>
          <w:ilvl w:val="0"/>
          <w:numId w:val="23"/>
        </w:numPr>
        <w:tabs>
          <w:tab w:val="clear" w:pos="1080"/>
        </w:tabs>
        <w:spacing w:before="120"/>
        <w:ind w:left="1854" w:hanging="567"/>
        <w:rPr>
          <w:rFonts w:cs="Arial"/>
        </w:rPr>
      </w:pPr>
      <w:r w:rsidRPr="00CD6054">
        <w:rPr>
          <w:rFonts w:cs="Arial"/>
        </w:rPr>
        <w:t>Notifiable disease. Doctors who suspect that patients are suffering from infectious diseases must notify the local authority.  Managers have to provide the information required as part of this notification procedure.</w:t>
      </w:r>
    </w:p>
    <w:p w14:paraId="31927933" w14:textId="77777777" w:rsidR="00757519" w:rsidRPr="00CD6054" w:rsidRDefault="00757519" w:rsidP="00CD6054">
      <w:pPr>
        <w:numPr>
          <w:ilvl w:val="0"/>
          <w:numId w:val="23"/>
        </w:numPr>
        <w:tabs>
          <w:tab w:val="clear" w:pos="1080"/>
        </w:tabs>
        <w:spacing w:before="120"/>
        <w:ind w:left="1854" w:hanging="567"/>
        <w:rPr>
          <w:rFonts w:cs="Arial"/>
        </w:rPr>
      </w:pPr>
      <w:r w:rsidRPr="00CD6054">
        <w:rPr>
          <w:rFonts w:cs="Arial"/>
        </w:rPr>
        <w:t>Regulatory bodies. Some information is reportable to these authorities or can be required by them.</w:t>
      </w:r>
    </w:p>
    <w:p w14:paraId="5B40722B" w14:textId="77777777" w:rsidR="00757519" w:rsidRPr="00CD6054" w:rsidRDefault="00757519" w:rsidP="00CD6054">
      <w:pPr>
        <w:numPr>
          <w:ilvl w:val="0"/>
          <w:numId w:val="23"/>
        </w:numPr>
        <w:tabs>
          <w:tab w:val="clear" w:pos="1080"/>
        </w:tabs>
        <w:spacing w:before="120"/>
        <w:ind w:left="1854" w:hanging="567"/>
        <w:rPr>
          <w:rFonts w:cs="Arial"/>
        </w:rPr>
      </w:pPr>
      <w:r w:rsidRPr="00CD6054">
        <w:rPr>
          <w:rFonts w:cs="Arial"/>
        </w:rPr>
        <w:t>Our appointed external auditors.</w:t>
      </w:r>
    </w:p>
    <w:p w14:paraId="5268B0E4" w14:textId="77777777" w:rsidR="00757519" w:rsidRPr="00CD6054" w:rsidRDefault="00757519" w:rsidP="00757519">
      <w:pPr>
        <w:rPr>
          <w:rFonts w:cs="Arial"/>
        </w:rPr>
      </w:pPr>
    </w:p>
    <w:p w14:paraId="1556E96E" w14:textId="0949033A" w:rsidR="00757519" w:rsidRPr="00CD6054" w:rsidRDefault="00CD6054" w:rsidP="00CD6054">
      <w:pPr>
        <w:ind w:left="720" w:hanging="720"/>
        <w:rPr>
          <w:rFonts w:cs="Arial"/>
        </w:rPr>
      </w:pPr>
      <w:r>
        <w:rPr>
          <w:rFonts w:cs="Arial"/>
        </w:rPr>
        <w:t>4.7</w:t>
      </w:r>
      <w:r>
        <w:rPr>
          <w:rFonts w:cs="Arial"/>
        </w:rPr>
        <w:tab/>
      </w:r>
      <w:r w:rsidR="00757519" w:rsidRPr="00CD6054">
        <w:rPr>
          <w:rFonts w:cs="Arial"/>
        </w:rPr>
        <w:t xml:space="preserve">If a person, whether someone using our services, an employee or a volunteer, believes their right to confidentiality has been breached, then they can put in a complaint, grievance or concern and this will be investigated by an appointed manager using the LC procedure. </w:t>
      </w:r>
    </w:p>
    <w:p w14:paraId="4245E931" w14:textId="77777777" w:rsidR="00757519" w:rsidRPr="00CD6054" w:rsidRDefault="00757519" w:rsidP="00757519">
      <w:pPr>
        <w:rPr>
          <w:rFonts w:cs="Arial"/>
        </w:rPr>
      </w:pPr>
    </w:p>
    <w:p w14:paraId="0F0FDA8A" w14:textId="159850B6" w:rsidR="00757519" w:rsidRPr="00CD6054" w:rsidRDefault="00CD6054" w:rsidP="00CD6054">
      <w:pPr>
        <w:ind w:left="720" w:hanging="720"/>
        <w:rPr>
          <w:rFonts w:cs="Arial"/>
        </w:rPr>
      </w:pPr>
      <w:r>
        <w:rPr>
          <w:rFonts w:cs="Arial"/>
        </w:rPr>
        <w:t>4.8</w:t>
      </w:r>
      <w:r>
        <w:rPr>
          <w:rFonts w:cs="Arial"/>
        </w:rPr>
        <w:tab/>
      </w:r>
      <w:r w:rsidR="00757519" w:rsidRPr="00CD6054">
        <w:rPr>
          <w:rFonts w:cs="Arial"/>
        </w:rPr>
        <w:t xml:space="preserve">People who use our services should refer to the ‘How to make a complaint’ leaflet for more information. Employees should refer to the Resolving Employee Concerns policy and volunteers should refer to the Volunteering Procedure. </w:t>
      </w:r>
    </w:p>
    <w:p w14:paraId="6E3F9C86" w14:textId="77777777" w:rsidR="00757519" w:rsidRPr="00CD6054" w:rsidRDefault="00757519" w:rsidP="00CD6054">
      <w:pPr>
        <w:pStyle w:val="Heading1"/>
      </w:pPr>
      <w:r w:rsidRPr="00CD6054">
        <w:t>Communication</w:t>
      </w:r>
    </w:p>
    <w:p w14:paraId="1964A9F5" w14:textId="01821C1E" w:rsidR="00757519" w:rsidRPr="00CD6054" w:rsidRDefault="00757519" w:rsidP="00A17740">
      <w:pPr>
        <w:pStyle w:val="ListParagraph"/>
        <w:ind w:left="0"/>
        <w:rPr>
          <w:rFonts w:ascii="Arial" w:hAnsi="Arial" w:cs="Arial"/>
        </w:rPr>
      </w:pPr>
      <w:r w:rsidRPr="00CD6054">
        <w:rPr>
          <w:rFonts w:ascii="Arial" w:hAnsi="Arial" w:cs="Arial"/>
        </w:rPr>
        <w:t xml:space="preserve">This policy can be found on the LC Intranet, and may also be printed off in hard copy within services. </w:t>
      </w:r>
    </w:p>
    <w:p w14:paraId="45D8D76C" w14:textId="77777777" w:rsidR="00757519" w:rsidRPr="00CD6054" w:rsidRDefault="00757519" w:rsidP="00757519">
      <w:pPr>
        <w:rPr>
          <w:rFonts w:cs="Arial"/>
        </w:rPr>
      </w:pPr>
    </w:p>
    <w:p w14:paraId="2ACD25A6" w14:textId="77777777" w:rsidR="00757519" w:rsidRPr="00CD6054" w:rsidRDefault="00757519" w:rsidP="00CD6054">
      <w:pPr>
        <w:pStyle w:val="Heading1"/>
      </w:pPr>
      <w:r w:rsidRPr="00CD6054">
        <w:t>Linked policies</w:t>
      </w:r>
    </w:p>
    <w:p w14:paraId="1B2A1BDC" w14:textId="0D48A25D" w:rsidR="00757519" w:rsidRPr="00CD6054" w:rsidRDefault="00757519" w:rsidP="00A17740">
      <w:pPr>
        <w:rPr>
          <w:rFonts w:cs="Arial"/>
        </w:rPr>
      </w:pPr>
      <w:r w:rsidRPr="00CD6054">
        <w:rPr>
          <w:rFonts w:cs="Arial"/>
        </w:rPr>
        <w:t>There are a number of other policies which are linked to this one. All relate to our role in safeguarding customers’ privacy and dignity including:</w:t>
      </w:r>
    </w:p>
    <w:p w14:paraId="397B967F" w14:textId="77777777" w:rsidR="00757519" w:rsidRPr="00CD6054" w:rsidRDefault="00757519" w:rsidP="00757519">
      <w:pPr>
        <w:rPr>
          <w:rFonts w:cs="Arial"/>
        </w:rPr>
      </w:pPr>
    </w:p>
    <w:p w14:paraId="55495C3A" w14:textId="77777777" w:rsidR="00757519" w:rsidRPr="00CD6054" w:rsidRDefault="00757519" w:rsidP="00CD6054">
      <w:pPr>
        <w:pStyle w:val="ListParagraph"/>
        <w:numPr>
          <w:ilvl w:val="1"/>
          <w:numId w:val="28"/>
        </w:numPr>
        <w:rPr>
          <w:rFonts w:ascii="Arial" w:hAnsi="Arial" w:cs="Arial"/>
          <w:b/>
        </w:rPr>
      </w:pPr>
      <w:r w:rsidRPr="00CD6054">
        <w:rPr>
          <w:rFonts w:ascii="Arial" w:hAnsi="Arial" w:cs="Arial"/>
        </w:rPr>
        <w:lastRenderedPageBreak/>
        <w:t>Data Protection Act policy</w:t>
      </w:r>
    </w:p>
    <w:p w14:paraId="7A6411F5"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Classification &amp; handling of information and data guidelines</w:t>
      </w:r>
    </w:p>
    <w:p w14:paraId="6C11CBA1"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Corporate retention policy</w:t>
      </w:r>
    </w:p>
    <w:p w14:paraId="01BDC16C"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Whistleblowing policy</w:t>
      </w:r>
    </w:p>
    <w:p w14:paraId="67B20F4B"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Access to records policy</w:t>
      </w:r>
    </w:p>
    <w:p w14:paraId="35019FE5"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Person centred practices policy</w:t>
      </w:r>
    </w:p>
    <w:p w14:paraId="1A5FD109"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Information systems security acceptable use policy</w:t>
      </w:r>
    </w:p>
    <w:p w14:paraId="68E30CA0"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Safeguarding of vulnerable adults policy</w:t>
      </w:r>
    </w:p>
    <w:p w14:paraId="69684577"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Safeguarding and child protection policy</w:t>
      </w:r>
    </w:p>
    <w:p w14:paraId="603DE349"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Employee handbook</w:t>
      </w:r>
    </w:p>
    <w:p w14:paraId="4145476E"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Managing complaints policy</w:t>
      </w:r>
    </w:p>
    <w:p w14:paraId="19D20D9F"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Information governance policy</w:t>
      </w:r>
    </w:p>
    <w:p w14:paraId="2A614B41"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Information sharing policy</w:t>
      </w:r>
    </w:p>
    <w:p w14:paraId="7190C2D2"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Resolving Employee Concerns policy</w:t>
      </w:r>
    </w:p>
    <w:p w14:paraId="598ED3B2" w14:textId="77777777" w:rsidR="00757519" w:rsidRPr="00CD6054" w:rsidRDefault="00757519" w:rsidP="00CD6054">
      <w:pPr>
        <w:pStyle w:val="ListParagraph"/>
        <w:numPr>
          <w:ilvl w:val="1"/>
          <w:numId w:val="28"/>
        </w:numPr>
        <w:rPr>
          <w:rFonts w:ascii="Arial" w:hAnsi="Arial" w:cs="Arial"/>
        </w:rPr>
      </w:pPr>
      <w:r w:rsidRPr="00CD6054">
        <w:rPr>
          <w:rFonts w:ascii="Arial" w:hAnsi="Arial" w:cs="Arial"/>
        </w:rPr>
        <w:t>Mental Capacity Act policy</w:t>
      </w:r>
    </w:p>
    <w:p w14:paraId="575C3299" w14:textId="77777777" w:rsidR="00757519" w:rsidRPr="00CD6054" w:rsidRDefault="00757519" w:rsidP="00757519">
      <w:pPr>
        <w:rPr>
          <w:rFonts w:cs="Arial"/>
        </w:rPr>
      </w:pPr>
    </w:p>
    <w:p w14:paraId="070DF6BF" w14:textId="77777777" w:rsidR="00757519" w:rsidRPr="00CD6054" w:rsidRDefault="00757519" w:rsidP="00CD6054">
      <w:pPr>
        <w:pStyle w:val="Heading1"/>
      </w:pPr>
      <w:r w:rsidRPr="00CD6054">
        <w:t xml:space="preserve">Roles and responsibilities </w:t>
      </w:r>
    </w:p>
    <w:p w14:paraId="3DBFA4B9" w14:textId="413BD411" w:rsidR="00757519" w:rsidRPr="00CD6054" w:rsidRDefault="00757519" w:rsidP="00A17740">
      <w:pPr>
        <w:pStyle w:val="ListParagraph"/>
        <w:ind w:left="0"/>
        <w:rPr>
          <w:rFonts w:ascii="Arial" w:hAnsi="Arial" w:cs="Arial"/>
        </w:rPr>
      </w:pPr>
      <w:r w:rsidRPr="00CD6054">
        <w:rPr>
          <w:rFonts w:ascii="Arial" w:hAnsi="Arial" w:cs="Arial"/>
        </w:rPr>
        <w:t>This policy applies to all trustees, volunteers, our customers and staff (including: temporary employees, contractors and consultants) that have access to the charity’s information.</w:t>
      </w:r>
    </w:p>
    <w:p w14:paraId="7C1F34E8" w14:textId="77777777" w:rsidR="00757519" w:rsidRPr="00CD6054" w:rsidRDefault="00757519" w:rsidP="00757519">
      <w:pPr>
        <w:rPr>
          <w:rFonts w:cs="Arial"/>
        </w:rPr>
      </w:pPr>
    </w:p>
    <w:p w14:paraId="543D911B" w14:textId="77777777" w:rsidR="00757519" w:rsidRPr="00CD6054" w:rsidRDefault="00757519" w:rsidP="00CD6054">
      <w:pPr>
        <w:pStyle w:val="Heading1"/>
      </w:pPr>
      <w:r w:rsidRPr="00CD6054">
        <w:t>Review</w:t>
      </w:r>
    </w:p>
    <w:p w14:paraId="58F49724" w14:textId="77777777" w:rsidR="00757519" w:rsidRPr="00CD6054" w:rsidRDefault="00757519" w:rsidP="00757519">
      <w:pPr>
        <w:spacing w:before="120"/>
        <w:rPr>
          <w:rFonts w:cs="Arial"/>
        </w:rPr>
      </w:pPr>
      <w:r w:rsidRPr="00CD6054">
        <w:rPr>
          <w:rFonts w:cs="Arial"/>
        </w:rPr>
        <w:t>This policy will be reviewed every three years or sooner if changes are required as a result of new legislation or regulation.</w:t>
      </w:r>
    </w:p>
    <w:p w14:paraId="3A573438" w14:textId="77777777" w:rsidR="00757519" w:rsidRPr="00CD6054" w:rsidRDefault="00757519" w:rsidP="00757519">
      <w:pPr>
        <w:rPr>
          <w:rFonts w:cs="Arial"/>
          <w:b/>
        </w:rPr>
      </w:pPr>
    </w:p>
    <w:p w14:paraId="3E7B10A6" w14:textId="77777777" w:rsidR="00757519" w:rsidRPr="00CD6054" w:rsidRDefault="00757519" w:rsidP="00CD6054">
      <w:pPr>
        <w:pStyle w:val="Heading1"/>
      </w:pPr>
      <w:r w:rsidRPr="00CD6054">
        <w:t>Comments and Queries</w:t>
      </w:r>
    </w:p>
    <w:p w14:paraId="123A9503" w14:textId="77777777" w:rsidR="00757519" w:rsidRPr="00CD6054" w:rsidRDefault="00757519" w:rsidP="00757519">
      <w:pPr>
        <w:spacing w:before="120"/>
        <w:rPr>
          <w:rFonts w:cs="Arial"/>
        </w:rPr>
      </w:pPr>
      <w:r w:rsidRPr="00CD6054">
        <w:rPr>
          <w:rFonts w:cs="Arial"/>
        </w:rPr>
        <w:t>Any comments or queries relating to the terms or application of this policy should be directed to its owner (named below) or the relevant department head.</w:t>
      </w:r>
    </w:p>
    <w:p w14:paraId="6C734C5C" w14:textId="77777777" w:rsidR="00757519" w:rsidRPr="00CD6054" w:rsidRDefault="00757519" w:rsidP="00757519">
      <w:pPr>
        <w:rPr>
          <w:rFonts w:cs="Arial"/>
        </w:rPr>
      </w:pPr>
    </w:p>
    <w:p w14:paraId="1E454F13" w14:textId="77777777" w:rsidR="00757519" w:rsidRPr="00CD6054" w:rsidRDefault="00757519" w:rsidP="00CD6054">
      <w:pPr>
        <w:pStyle w:val="Heading1"/>
      </w:pPr>
      <w:r w:rsidRPr="00CD6054">
        <w:t>Approval</w:t>
      </w:r>
    </w:p>
    <w:p w14:paraId="74F56F74" w14:textId="52C22AA9" w:rsidR="00CD6054" w:rsidRDefault="00757519" w:rsidP="00CD6054">
      <w:pPr>
        <w:spacing w:before="120"/>
        <w:rPr>
          <w:rFonts w:cs="Arial"/>
        </w:rPr>
      </w:pPr>
      <w:r w:rsidRPr="00CD6054">
        <w:rPr>
          <w:rFonts w:cs="Arial"/>
        </w:rPr>
        <w:t>This policy has been approved by the Management Board with delegated authority from the Board of Trustees.</w:t>
      </w:r>
    </w:p>
    <w:p w14:paraId="7DEB7F6A" w14:textId="4E840689" w:rsidR="00CD6054" w:rsidRDefault="00CD6054" w:rsidP="00CD6054">
      <w:pPr>
        <w:spacing w:before="120"/>
        <w:rPr>
          <w:rFonts w:cs="Arial"/>
        </w:rPr>
      </w:pPr>
    </w:p>
    <w:p w14:paraId="39FB8784" w14:textId="018AB351" w:rsidR="00CD6054" w:rsidRDefault="00CD6054" w:rsidP="00CD6054">
      <w:pPr>
        <w:spacing w:before="120"/>
        <w:rPr>
          <w:rFonts w:cs="Arial"/>
        </w:rPr>
      </w:pPr>
    </w:p>
    <w:p w14:paraId="410DCE2B" w14:textId="49AB13C0" w:rsidR="00CD6054" w:rsidRDefault="00CD6054" w:rsidP="00CD6054">
      <w:pPr>
        <w:spacing w:before="120"/>
        <w:rPr>
          <w:rFonts w:cs="Arial"/>
        </w:rPr>
      </w:pPr>
    </w:p>
    <w:p w14:paraId="432180AB" w14:textId="77520ABE" w:rsidR="00CD6054" w:rsidRDefault="00CD6054" w:rsidP="00CD6054">
      <w:pPr>
        <w:spacing w:before="120"/>
        <w:rPr>
          <w:rFonts w:cs="Arial"/>
        </w:rPr>
      </w:pPr>
    </w:p>
    <w:p w14:paraId="21730712" w14:textId="54E314AE" w:rsidR="00CD6054" w:rsidRDefault="00CD6054" w:rsidP="00CD6054">
      <w:pPr>
        <w:spacing w:before="120"/>
        <w:rPr>
          <w:rFonts w:cs="Arial"/>
        </w:rPr>
      </w:pPr>
    </w:p>
    <w:p w14:paraId="269D3A91" w14:textId="77777777" w:rsidR="00CD6054" w:rsidRPr="00CD6054" w:rsidRDefault="00CD6054" w:rsidP="00CD6054">
      <w:pPr>
        <w:spacing w:before="120"/>
        <w:rPr>
          <w:rFonts w:cs="Arial"/>
        </w:rPr>
      </w:pPr>
    </w:p>
    <w:p w14:paraId="79104341" w14:textId="6D645C0C" w:rsidR="00CD6054" w:rsidRPr="00CD6054" w:rsidRDefault="00757519" w:rsidP="00CD6054">
      <w:pPr>
        <w:pStyle w:val="Heading1"/>
      </w:pPr>
      <w:r w:rsidRPr="00CD6054">
        <w:lastRenderedPageBreak/>
        <w:t>History</w:t>
      </w:r>
    </w:p>
    <w:p w14:paraId="7A018E07" w14:textId="77777777" w:rsidR="00757519" w:rsidRPr="00CD6054" w:rsidRDefault="00757519" w:rsidP="00757519">
      <w:pPr>
        <w:pStyle w:val="ListParagraph"/>
        <w:numPr>
          <w:ilvl w:val="0"/>
          <w:numId w:val="5"/>
        </w:numPr>
        <w:rPr>
          <w:rFonts w:ascii="Arial" w:hAnsi="Arial" w:cs="Arial"/>
          <w:vanish/>
        </w:rPr>
      </w:pPr>
    </w:p>
    <w:p w14:paraId="28B28C32" w14:textId="77777777" w:rsidR="00757519" w:rsidRPr="00CD6054" w:rsidRDefault="00757519" w:rsidP="00757519">
      <w:pPr>
        <w:pStyle w:val="ListParagraph"/>
        <w:numPr>
          <w:ilvl w:val="0"/>
          <w:numId w:val="5"/>
        </w:numPr>
        <w:rPr>
          <w:rFonts w:ascii="Arial" w:hAnsi="Arial" w:cs="Arial"/>
          <w:vanish/>
        </w:rPr>
      </w:pPr>
    </w:p>
    <w:tbl>
      <w:tblPr>
        <w:tblW w:w="884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7F7F7F" w:themeColor="text1" w:themeTint="80"/>
          <w:insideV w:val="single" w:sz="6" w:space="0" w:color="7F7F7F" w:themeColor="text1" w:themeTint="80"/>
        </w:tblBorders>
        <w:tblLook w:val="00A0" w:firstRow="1" w:lastRow="0" w:firstColumn="1" w:lastColumn="0" w:noHBand="0" w:noVBand="0"/>
      </w:tblPr>
      <w:tblGrid>
        <w:gridCol w:w="2211"/>
        <w:gridCol w:w="2211"/>
        <w:gridCol w:w="2211"/>
        <w:gridCol w:w="2211"/>
      </w:tblGrid>
      <w:tr w:rsidR="00757519" w:rsidRPr="00CD6054" w14:paraId="305956A4" w14:textId="77777777" w:rsidTr="00A049FB">
        <w:trPr>
          <w:jc w:val="center"/>
        </w:trPr>
        <w:tc>
          <w:tcPr>
            <w:tcW w:w="2211" w:type="dxa"/>
            <w:shd w:val="clear" w:color="auto" w:fill="D9D9D9"/>
            <w:vAlign w:val="center"/>
            <w:hideMark/>
          </w:tcPr>
          <w:p w14:paraId="64B92910" w14:textId="77777777" w:rsidR="00757519" w:rsidRPr="00CD6054" w:rsidRDefault="00757519" w:rsidP="00A049FB">
            <w:pPr>
              <w:keepNext/>
              <w:spacing w:before="120" w:after="120"/>
              <w:rPr>
                <w:rFonts w:cs="Arial"/>
              </w:rPr>
            </w:pPr>
            <w:r w:rsidRPr="00CD6054">
              <w:rPr>
                <w:rFonts w:cs="Arial"/>
              </w:rPr>
              <w:t>Policy commenced:</w:t>
            </w:r>
          </w:p>
        </w:tc>
        <w:tc>
          <w:tcPr>
            <w:tcW w:w="2211" w:type="dxa"/>
            <w:vAlign w:val="center"/>
            <w:hideMark/>
          </w:tcPr>
          <w:p w14:paraId="2E692EEB" w14:textId="77777777" w:rsidR="00757519" w:rsidRPr="00CD6054" w:rsidRDefault="00757519" w:rsidP="00A049FB">
            <w:pPr>
              <w:keepNext/>
              <w:spacing w:before="120" w:after="120"/>
              <w:rPr>
                <w:rFonts w:cs="Arial"/>
              </w:rPr>
            </w:pPr>
            <w:r w:rsidRPr="00CD6054">
              <w:rPr>
                <w:rFonts w:cs="Arial"/>
              </w:rPr>
              <w:t>1</w:t>
            </w:r>
            <w:r w:rsidRPr="00CD6054">
              <w:rPr>
                <w:rFonts w:cs="Arial"/>
                <w:vertAlign w:val="superscript"/>
              </w:rPr>
              <w:t>st</w:t>
            </w:r>
            <w:r w:rsidRPr="00CD6054">
              <w:rPr>
                <w:rFonts w:cs="Arial"/>
              </w:rPr>
              <w:t xml:space="preserve"> March 2017</w:t>
            </w:r>
          </w:p>
        </w:tc>
        <w:tc>
          <w:tcPr>
            <w:tcW w:w="2211" w:type="dxa"/>
            <w:shd w:val="clear" w:color="auto" w:fill="D9D9D9"/>
            <w:vAlign w:val="center"/>
          </w:tcPr>
          <w:p w14:paraId="1439BAA0" w14:textId="77777777" w:rsidR="00757519" w:rsidRPr="00CD6054" w:rsidRDefault="00757519" w:rsidP="00A049FB">
            <w:pPr>
              <w:keepNext/>
              <w:spacing w:before="120" w:after="120"/>
              <w:rPr>
                <w:rFonts w:cs="Arial"/>
              </w:rPr>
            </w:pPr>
            <w:r w:rsidRPr="00CD6054">
              <w:rPr>
                <w:rFonts w:cs="Arial"/>
              </w:rPr>
              <w:t>Next full review due:</w:t>
            </w:r>
          </w:p>
        </w:tc>
        <w:tc>
          <w:tcPr>
            <w:tcW w:w="2211" w:type="dxa"/>
            <w:vAlign w:val="center"/>
          </w:tcPr>
          <w:p w14:paraId="05B94A05" w14:textId="77777777" w:rsidR="00757519" w:rsidRPr="00CD6054" w:rsidRDefault="00757519" w:rsidP="00A049FB">
            <w:pPr>
              <w:keepNext/>
              <w:spacing w:before="120"/>
              <w:rPr>
                <w:rFonts w:cs="Arial"/>
              </w:rPr>
            </w:pPr>
            <w:r w:rsidRPr="00CD6054">
              <w:rPr>
                <w:rFonts w:cs="Arial"/>
              </w:rPr>
              <w:t>1</w:t>
            </w:r>
            <w:r w:rsidRPr="00CD6054">
              <w:rPr>
                <w:rFonts w:cs="Arial"/>
                <w:vertAlign w:val="superscript"/>
              </w:rPr>
              <w:t>st</w:t>
            </w:r>
            <w:r w:rsidRPr="00CD6054">
              <w:rPr>
                <w:rFonts w:cs="Arial"/>
              </w:rPr>
              <w:t xml:space="preserve"> March 2020</w:t>
            </w:r>
          </w:p>
        </w:tc>
      </w:tr>
      <w:tr w:rsidR="00757519" w:rsidRPr="00CD6054" w14:paraId="44241DA5" w14:textId="77777777" w:rsidTr="00A049FB">
        <w:trPr>
          <w:jc w:val="center"/>
        </w:trPr>
        <w:tc>
          <w:tcPr>
            <w:tcW w:w="2211" w:type="dxa"/>
            <w:shd w:val="clear" w:color="auto" w:fill="D9D9D9"/>
            <w:vAlign w:val="center"/>
            <w:hideMark/>
          </w:tcPr>
          <w:p w14:paraId="6E5DAD96" w14:textId="77777777" w:rsidR="00757519" w:rsidRPr="00CD6054" w:rsidRDefault="00757519" w:rsidP="00A049FB">
            <w:pPr>
              <w:keepNext/>
              <w:spacing w:before="120" w:after="120"/>
              <w:rPr>
                <w:rFonts w:cs="Arial"/>
              </w:rPr>
            </w:pPr>
            <w:r w:rsidRPr="00CD6054">
              <w:rPr>
                <w:rFonts w:cs="Arial"/>
              </w:rPr>
              <w:t>Last full review:</w:t>
            </w:r>
          </w:p>
        </w:tc>
        <w:tc>
          <w:tcPr>
            <w:tcW w:w="2211" w:type="dxa"/>
            <w:vAlign w:val="center"/>
            <w:hideMark/>
          </w:tcPr>
          <w:p w14:paraId="1AD955CC" w14:textId="77777777" w:rsidR="00757519" w:rsidRPr="00CD6054" w:rsidRDefault="00757519" w:rsidP="00A049FB">
            <w:pPr>
              <w:keepNext/>
              <w:spacing w:before="120" w:after="120"/>
              <w:rPr>
                <w:rFonts w:cs="Arial"/>
              </w:rPr>
            </w:pPr>
            <w:r w:rsidRPr="00CD6054">
              <w:rPr>
                <w:rFonts w:cs="Arial"/>
              </w:rPr>
              <w:t>1</w:t>
            </w:r>
            <w:r w:rsidRPr="00CD6054">
              <w:rPr>
                <w:rFonts w:cs="Arial"/>
                <w:vertAlign w:val="superscript"/>
              </w:rPr>
              <w:t>st</w:t>
            </w:r>
            <w:r w:rsidRPr="00CD6054">
              <w:rPr>
                <w:rFonts w:cs="Arial"/>
              </w:rPr>
              <w:t xml:space="preserve"> March 2017</w:t>
            </w:r>
          </w:p>
        </w:tc>
        <w:tc>
          <w:tcPr>
            <w:tcW w:w="2211" w:type="dxa"/>
            <w:shd w:val="clear" w:color="auto" w:fill="D9D9D9"/>
            <w:vAlign w:val="center"/>
          </w:tcPr>
          <w:p w14:paraId="1EBD21CB" w14:textId="77777777" w:rsidR="00757519" w:rsidRPr="00CD6054" w:rsidRDefault="00757519" w:rsidP="00A049FB">
            <w:pPr>
              <w:keepNext/>
              <w:spacing w:before="120" w:after="120"/>
              <w:rPr>
                <w:rFonts w:cs="Arial"/>
              </w:rPr>
            </w:pPr>
            <w:r w:rsidRPr="00CD6054">
              <w:rPr>
                <w:rFonts w:cs="Arial"/>
              </w:rPr>
              <w:t>Department:</w:t>
            </w:r>
          </w:p>
        </w:tc>
        <w:tc>
          <w:tcPr>
            <w:tcW w:w="2211" w:type="dxa"/>
            <w:vAlign w:val="center"/>
          </w:tcPr>
          <w:p w14:paraId="58C62271" w14:textId="77777777" w:rsidR="00757519" w:rsidRPr="00CD6054" w:rsidRDefault="00757519" w:rsidP="00A049FB">
            <w:pPr>
              <w:keepNext/>
              <w:spacing w:before="120" w:after="120"/>
              <w:rPr>
                <w:rFonts w:cs="Arial"/>
              </w:rPr>
            </w:pPr>
            <w:r w:rsidRPr="00CD6054">
              <w:rPr>
                <w:rFonts w:cs="Arial"/>
              </w:rPr>
              <w:t>Quality Improvement</w:t>
            </w:r>
          </w:p>
        </w:tc>
      </w:tr>
      <w:tr w:rsidR="00757519" w:rsidRPr="00CD6054" w14:paraId="4B7166B5" w14:textId="77777777" w:rsidTr="00A049FB">
        <w:trPr>
          <w:jc w:val="center"/>
        </w:trPr>
        <w:tc>
          <w:tcPr>
            <w:tcW w:w="2211" w:type="dxa"/>
            <w:shd w:val="clear" w:color="auto" w:fill="D9D9D9"/>
            <w:vAlign w:val="center"/>
            <w:hideMark/>
          </w:tcPr>
          <w:p w14:paraId="38921F8E" w14:textId="77777777" w:rsidR="00757519" w:rsidRPr="00CD6054" w:rsidRDefault="00757519" w:rsidP="00A049FB">
            <w:pPr>
              <w:keepNext/>
              <w:spacing w:before="120" w:after="120"/>
              <w:rPr>
                <w:rFonts w:cs="Arial"/>
              </w:rPr>
            </w:pPr>
            <w:r w:rsidRPr="00CD6054">
              <w:rPr>
                <w:rFonts w:cs="Arial"/>
              </w:rPr>
              <w:t>Lead Director</w:t>
            </w:r>
          </w:p>
        </w:tc>
        <w:tc>
          <w:tcPr>
            <w:tcW w:w="2211" w:type="dxa"/>
            <w:vAlign w:val="center"/>
            <w:hideMark/>
          </w:tcPr>
          <w:p w14:paraId="58D1518B" w14:textId="77777777" w:rsidR="00757519" w:rsidRPr="00CD6054" w:rsidRDefault="00757519" w:rsidP="00A049FB">
            <w:pPr>
              <w:keepNext/>
              <w:spacing w:before="120" w:after="120"/>
              <w:rPr>
                <w:rFonts w:cs="Arial"/>
              </w:rPr>
            </w:pPr>
            <w:r w:rsidRPr="00CD6054">
              <w:rPr>
                <w:rFonts w:cs="Arial"/>
              </w:rPr>
              <w:t>Executive Director of Care Services</w:t>
            </w:r>
          </w:p>
        </w:tc>
        <w:tc>
          <w:tcPr>
            <w:tcW w:w="2211" w:type="dxa"/>
            <w:shd w:val="clear" w:color="auto" w:fill="D9D9D9"/>
            <w:vAlign w:val="center"/>
          </w:tcPr>
          <w:p w14:paraId="71321BDB" w14:textId="77777777" w:rsidR="00757519" w:rsidRPr="00CD6054" w:rsidRDefault="00757519" w:rsidP="00A049FB">
            <w:pPr>
              <w:keepNext/>
              <w:spacing w:before="120" w:after="120"/>
              <w:rPr>
                <w:rFonts w:cs="Arial"/>
              </w:rPr>
            </w:pPr>
            <w:r w:rsidRPr="00CD6054">
              <w:rPr>
                <w:rFonts w:cs="Arial"/>
              </w:rPr>
              <w:t>Policy owner:</w:t>
            </w:r>
          </w:p>
        </w:tc>
        <w:tc>
          <w:tcPr>
            <w:tcW w:w="2211" w:type="dxa"/>
            <w:vAlign w:val="center"/>
          </w:tcPr>
          <w:p w14:paraId="2A63A303" w14:textId="77777777" w:rsidR="00757519" w:rsidRPr="00CD6054" w:rsidRDefault="00757519" w:rsidP="00A049FB">
            <w:pPr>
              <w:keepNext/>
              <w:spacing w:before="120"/>
              <w:rPr>
                <w:rFonts w:cs="Arial"/>
              </w:rPr>
            </w:pPr>
            <w:r w:rsidRPr="00CD6054">
              <w:rPr>
                <w:rFonts w:cs="Arial"/>
              </w:rPr>
              <w:t>Head of Quality Improvement</w:t>
            </w:r>
          </w:p>
        </w:tc>
      </w:tr>
    </w:tbl>
    <w:p w14:paraId="587E0592" w14:textId="77777777" w:rsidR="00757519" w:rsidRPr="00CD6054" w:rsidRDefault="00757519" w:rsidP="00757519">
      <w:pPr>
        <w:keepNext/>
        <w:rPr>
          <w:rFonts w:cs="Arial"/>
        </w:rPr>
      </w:pPr>
    </w:p>
    <w:p w14:paraId="1662E714" w14:textId="7709D10E" w:rsidR="00AC5914" w:rsidRPr="00CD6054" w:rsidRDefault="00AC5914" w:rsidP="00545BC7">
      <w:pPr>
        <w:pStyle w:val="Heading2"/>
        <w:keepNext w:val="0"/>
        <w:widowControl w:val="0"/>
        <w:numPr>
          <w:ilvl w:val="0"/>
          <w:numId w:val="0"/>
        </w:numPr>
        <w:spacing w:before="60" w:after="0"/>
        <w:ind w:left="1134"/>
        <w:rPr>
          <w:sz w:val="24"/>
          <w:szCs w:val="24"/>
        </w:rPr>
      </w:pPr>
    </w:p>
    <w:sectPr w:rsidR="00AC5914" w:rsidRPr="00CD6054" w:rsidSect="00C14A7C">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E22EE" w14:textId="77777777" w:rsidR="0094268E" w:rsidRDefault="0094268E" w:rsidP="00610C7C">
      <w:r>
        <w:separator/>
      </w:r>
    </w:p>
  </w:endnote>
  <w:endnote w:type="continuationSeparator" w:id="0">
    <w:p w14:paraId="6D3B4C6F" w14:textId="77777777" w:rsidR="0094268E" w:rsidRDefault="0094268E" w:rsidP="0061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B492" w14:textId="77777777" w:rsidR="00192BA2" w:rsidRPr="008A7D40" w:rsidRDefault="00192BA2" w:rsidP="00C14A7C">
    <w:pPr>
      <w:pStyle w:val="Footer"/>
      <w:rPr>
        <w:rFonts w:cs="Arial"/>
        <w:sz w:val="20"/>
      </w:rPr>
    </w:pPr>
    <w:r w:rsidRPr="008A7D40">
      <w:rPr>
        <w:rFonts w:cs="Arial"/>
        <w:sz w:val="20"/>
      </w:rPr>
      <w:t>L</w:t>
    </w:r>
    <w:r w:rsidR="008A7D40" w:rsidRPr="008A7D40">
      <w:rPr>
        <w:rFonts w:cs="Arial"/>
        <w:sz w:val="20"/>
      </w:rPr>
      <w:t xml:space="preserve">eonard Cheshire, </w:t>
    </w:r>
    <w:r w:rsidRPr="008A7D40">
      <w:rPr>
        <w:rFonts w:cs="Arial"/>
        <w:sz w:val="20"/>
      </w:rPr>
      <w:t xml:space="preserve">66 South Lambeth Road, London, SW8 1RL, </w:t>
    </w:r>
  </w:p>
  <w:p w14:paraId="4547EA47" w14:textId="77777777" w:rsidR="00192BA2" w:rsidRPr="008A7D40" w:rsidRDefault="00192BA2">
    <w:pPr>
      <w:pStyle w:val="Footer"/>
      <w:rPr>
        <w:rFonts w:cs="Arial"/>
        <w:sz w:val="20"/>
      </w:rPr>
    </w:pPr>
    <w:r w:rsidRPr="008A7D40">
      <w:rPr>
        <w:rFonts w:cs="Arial"/>
        <w:sz w:val="20"/>
      </w:rPr>
      <w:t>Company Number: 00552847, Registered Charity Number: 218186</w:t>
    </w:r>
    <w:r w:rsidRPr="008A7D40">
      <w:rPr>
        <w:rFonts w:cs="Arial"/>
        <w:sz w:val="20"/>
      </w:rPr>
      <w:tab/>
      <w:t xml:space="preserve">Page </w:t>
    </w:r>
    <w:r w:rsidRPr="008A7D40">
      <w:rPr>
        <w:rFonts w:cs="Arial"/>
        <w:b/>
        <w:sz w:val="20"/>
      </w:rPr>
      <w:fldChar w:fldCharType="begin"/>
    </w:r>
    <w:r w:rsidRPr="008A7D40">
      <w:rPr>
        <w:rFonts w:cs="Arial"/>
        <w:b/>
        <w:sz w:val="20"/>
      </w:rPr>
      <w:instrText xml:space="preserve"> PAGE  \* Arabic  \* MERGEFORMAT </w:instrText>
    </w:r>
    <w:r w:rsidRPr="008A7D40">
      <w:rPr>
        <w:rFonts w:cs="Arial"/>
        <w:b/>
        <w:sz w:val="20"/>
      </w:rPr>
      <w:fldChar w:fldCharType="separate"/>
    </w:r>
    <w:r w:rsidR="00415957">
      <w:rPr>
        <w:rFonts w:cs="Arial"/>
        <w:b/>
        <w:noProof/>
        <w:sz w:val="20"/>
      </w:rPr>
      <w:t>1</w:t>
    </w:r>
    <w:r w:rsidRPr="008A7D40">
      <w:rPr>
        <w:rFonts w:cs="Arial"/>
        <w:b/>
        <w:sz w:val="20"/>
      </w:rPr>
      <w:fldChar w:fldCharType="end"/>
    </w:r>
    <w:r w:rsidRPr="008A7D40">
      <w:rPr>
        <w:rFonts w:cs="Arial"/>
        <w:sz w:val="20"/>
      </w:rPr>
      <w:t xml:space="preserve"> of </w:t>
    </w:r>
    <w:r w:rsidRPr="008A7D40">
      <w:rPr>
        <w:rFonts w:cs="Arial"/>
        <w:b/>
        <w:sz w:val="20"/>
      </w:rPr>
      <w:fldChar w:fldCharType="begin"/>
    </w:r>
    <w:r w:rsidRPr="008A7D40">
      <w:rPr>
        <w:rFonts w:cs="Arial"/>
        <w:b/>
        <w:sz w:val="20"/>
      </w:rPr>
      <w:instrText xml:space="preserve"> NUMPAGES  \* Arabic  \* MERGEFORMAT </w:instrText>
    </w:r>
    <w:r w:rsidRPr="008A7D40">
      <w:rPr>
        <w:rFonts w:cs="Arial"/>
        <w:b/>
        <w:sz w:val="20"/>
      </w:rPr>
      <w:fldChar w:fldCharType="separate"/>
    </w:r>
    <w:r w:rsidR="00415957">
      <w:rPr>
        <w:rFonts w:cs="Arial"/>
        <w:b/>
        <w:noProof/>
        <w:sz w:val="20"/>
      </w:rPr>
      <w:t>5</w:t>
    </w:r>
    <w:r w:rsidRPr="008A7D40">
      <w:rPr>
        <w:rFonts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108" w:type="dxa"/>
      <w:tblLayout w:type="fixed"/>
      <w:tblLook w:val="01E0" w:firstRow="1" w:lastRow="1" w:firstColumn="1" w:lastColumn="1" w:noHBand="0" w:noVBand="0"/>
    </w:tblPr>
    <w:tblGrid>
      <w:gridCol w:w="9000"/>
    </w:tblGrid>
    <w:tr w:rsidR="00192BA2" w14:paraId="72542CE3" w14:textId="77777777" w:rsidTr="00610C7C">
      <w:trPr>
        <w:trHeight w:val="357"/>
      </w:trPr>
      <w:tc>
        <w:tcPr>
          <w:tcW w:w="9000" w:type="dxa"/>
          <w:hideMark/>
        </w:tcPr>
        <w:p w14:paraId="6BAD4C47" w14:textId="77777777" w:rsidR="00192BA2" w:rsidRDefault="00192BA2">
          <w:pPr>
            <w:pStyle w:val="Header"/>
            <w:rPr>
              <w:rFonts w:cs="Arial"/>
              <w:color w:val="333333"/>
            </w:rPr>
          </w:pPr>
          <w:r>
            <w:rPr>
              <w:rFonts w:cs="Arial"/>
              <w:color w:val="333333"/>
            </w:rPr>
            <w:t>_________________________________________________________________</w:t>
          </w:r>
        </w:p>
      </w:tc>
    </w:tr>
    <w:tr w:rsidR="00192BA2" w14:paraId="184C09AE" w14:textId="77777777" w:rsidTr="00610C7C">
      <w:trPr>
        <w:trHeight w:val="545"/>
      </w:trPr>
      <w:tc>
        <w:tcPr>
          <w:tcW w:w="9000" w:type="dxa"/>
          <w:hideMark/>
        </w:tcPr>
        <w:p w14:paraId="224AEC4A" w14:textId="77777777" w:rsidR="00192BA2" w:rsidRDefault="00192BA2">
          <w:pPr>
            <w:pStyle w:val="Header"/>
            <w:rPr>
              <w:rFonts w:ascii="Trebuchet MS" w:hAnsi="Trebuchet MS" w:cs="Arial"/>
            </w:rPr>
          </w:pPr>
          <w:r>
            <w:rPr>
              <w:rFonts w:ascii="Trebuchet MS" w:hAnsi="Trebuchet MS" w:cs="Arial"/>
            </w:rPr>
            <w:t>[Policy name]</w:t>
          </w:r>
        </w:p>
        <w:p w14:paraId="2F57950C" w14:textId="77777777" w:rsidR="00192BA2" w:rsidRDefault="00192BA2" w:rsidP="00610C7C">
          <w:pPr>
            <w:pStyle w:val="Header"/>
            <w:rPr>
              <w:rFonts w:ascii="Trebuchet MS" w:hAnsi="Trebuchet MS" w:cs="Arial"/>
              <w:sz w:val="22"/>
              <w:szCs w:val="22"/>
            </w:rPr>
          </w:pPr>
          <w:r>
            <w:rPr>
              <w:rFonts w:ascii="Trebuchet MS" w:hAnsi="Trebuchet MS" w:cs="Arial"/>
              <w:sz w:val="22"/>
              <w:szCs w:val="22"/>
            </w:rPr>
            <w:t xml:space="preserve">Owner: [name]      </w:t>
          </w:r>
        </w:p>
        <w:p w14:paraId="4DFDAFBF" w14:textId="77777777" w:rsidR="00192BA2" w:rsidRDefault="00192BA2" w:rsidP="00610C7C">
          <w:pPr>
            <w:pStyle w:val="Header"/>
            <w:jc w:val="right"/>
            <w:rPr>
              <w:rFonts w:cs="Arial"/>
            </w:rPr>
          </w:pPr>
          <w:r>
            <w:rPr>
              <w:rFonts w:ascii="Trebuchet MS" w:hAnsi="Trebuchet MS" w:cs="Arial"/>
              <w:sz w:val="22"/>
              <w:szCs w:val="22"/>
            </w:rPr>
            <w:t xml:space="preserve">Page: </w:t>
          </w:r>
          <w:r>
            <w:rPr>
              <w:rStyle w:val="PageNumber"/>
              <w:rFonts w:ascii="Trebuchet MS" w:hAnsi="Trebuchet MS" w:cs="Arial"/>
              <w:sz w:val="22"/>
              <w:szCs w:val="22"/>
            </w:rPr>
            <w:fldChar w:fldCharType="begin"/>
          </w:r>
          <w:r>
            <w:rPr>
              <w:rStyle w:val="PageNumber"/>
              <w:rFonts w:ascii="Trebuchet MS" w:hAnsi="Trebuchet MS" w:cs="Arial"/>
              <w:sz w:val="22"/>
              <w:szCs w:val="22"/>
            </w:rPr>
            <w:instrText xml:space="preserve"> PAGE   \* MERGEFORMAT </w:instrText>
          </w:r>
          <w:r>
            <w:rPr>
              <w:rStyle w:val="PageNumber"/>
              <w:rFonts w:ascii="Trebuchet MS" w:hAnsi="Trebuchet MS" w:cs="Arial"/>
              <w:sz w:val="22"/>
              <w:szCs w:val="22"/>
            </w:rPr>
            <w:fldChar w:fldCharType="separate"/>
          </w:r>
          <w:r w:rsidRPr="007E78DC">
            <w:rPr>
              <w:rStyle w:val="PageNumber"/>
              <w:rFonts w:ascii="Trebuchet MS" w:hAnsi="Trebuchet MS" w:cs="Arial"/>
              <w:noProof/>
            </w:rPr>
            <w:t>1</w:t>
          </w:r>
          <w:r>
            <w:rPr>
              <w:rStyle w:val="PageNumber"/>
              <w:rFonts w:ascii="Trebuchet MS" w:hAnsi="Trebuchet MS" w:cs="Arial"/>
              <w:sz w:val="22"/>
              <w:szCs w:val="22"/>
            </w:rPr>
            <w:fldChar w:fldCharType="end"/>
          </w:r>
          <w:r>
            <w:rPr>
              <w:rStyle w:val="PageNumber"/>
              <w:rFonts w:ascii="Trebuchet MS" w:hAnsi="Trebuchet MS" w:cs="Arial"/>
              <w:sz w:val="22"/>
              <w:szCs w:val="22"/>
            </w:rPr>
            <w:t xml:space="preserve"> of </w:t>
          </w:r>
          <w:r>
            <w:rPr>
              <w:rStyle w:val="PageNumber"/>
              <w:rFonts w:ascii="Trebuchet MS" w:hAnsi="Trebuchet MS" w:cs="Arial"/>
            </w:rPr>
            <w:fldChar w:fldCharType="begin"/>
          </w:r>
          <w:r>
            <w:rPr>
              <w:rStyle w:val="PageNumber"/>
              <w:rFonts w:ascii="Trebuchet MS" w:hAnsi="Trebuchet MS" w:cs="Arial"/>
            </w:rPr>
            <w:instrText xml:space="preserve"> NUMPAGES </w:instrText>
          </w:r>
          <w:r>
            <w:rPr>
              <w:rStyle w:val="PageNumber"/>
              <w:rFonts w:ascii="Trebuchet MS" w:hAnsi="Trebuchet MS" w:cs="Arial"/>
            </w:rPr>
            <w:fldChar w:fldCharType="separate"/>
          </w:r>
          <w:r w:rsidR="00AB0122">
            <w:rPr>
              <w:rStyle w:val="PageNumber"/>
              <w:rFonts w:ascii="Trebuchet MS" w:hAnsi="Trebuchet MS" w:cs="Arial"/>
              <w:noProof/>
            </w:rPr>
            <w:t>7</w:t>
          </w:r>
          <w:r>
            <w:rPr>
              <w:rStyle w:val="PageNumber"/>
              <w:rFonts w:ascii="Trebuchet MS" w:hAnsi="Trebuchet MS" w:cs="Arial"/>
            </w:rPr>
            <w:fldChar w:fldCharType="end"/>
          </w:r>
        </w:p>
      </w:tc>
    </w:tr>
  </w:tbl>
  <w:p w14:paraId="381C2324" w14:textId="77777777" w:rsidR="00192BA2" w:rsidRDefault="0019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97F5E" w14:textId="77777777" w:rsidR="0094268E" w:rsidRDefault="0094268E" w:rsidP="00610C7C">
      <w:r>
        <w:separator/>
      </w:r>
    </w:p>
  </w:footnote>
  <w:footnote w:type="continuationSeparator" w:id="0">
    <w:p w14:paraId="182FEF8B" w14:textId="77777777" w:rsidR="0094268E" w:rsidRDefault="0094268E" w:rsidP="0061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1861"/>
      <w:gridCol w:w="6123"/>
    </w:tblGrid>
    <w:tr w:rsidR="00192BA2" w14:paraId="694101C6" w14:textId="77777777" w:rsidTr="00DA4663">
      <w:tc>
        <w:tcPr>
          <w:tcW w:w="1861" w:type="dxa"/>
          <w:tcBorders>
            <w:top w:val="single" w:sz="4" w:space="0" w:color="auto"/>
            <w:left w:val="single" w:sz="4" w:space="0" w:color="auto"/>
            <w:bottom w:val="single" w:sz="4" w:space="0" w:color="auto"/>
            <w:right w:val="single" w:sz="4" w:space="0" w:color="auto"/>
          </w:tcBorders>
          <w:shd w:val="clear" w:color="auto" w:fill="595959"/>
        </w:tcPr>
        <w:p w14:paraId="14EFC898" w14:textId="77777777" w:rsidR="00192BA2" w:rsidRPr="00C06D1A" w:rsidRDefault="00192BA2" w:rsidP="008C28E4">
          <w:pPr>
            <w:pStyle w:val="Header"/>
            <w:rPr>
              <w:rFonts w:cs="Arial"/>
              <w:b/>
              <w:color w:val="FFFFFF"/>
            </w:rPr>
          </w:pPr>
          <w:r w:rsidRPr="00C06D1A">
            <w:rPr>
              <w:rFonts w:cs="Arial"/>
              <w:b/>
              <w:color w:val="FFFFFF"/>
            </w:rPr>
            <w:t xml:space="preserve">Policy </w:t>
          </w:r>
        </w:p>
      </w:tc>
      <w:tc>
        <w:tcPr>
          <w:tcW w:w="6123" w:type="dxa"/>
          <w:tcBorders>
            <w:top w:val="single" w:sz="4" w:space="0" w:color="auto"/>
            <w:left w:val="single" w:sz="4" w:space="0" w:color="auto"/>
            <w:bottom w:val="single" w:sz="4" w:space="0" w:color="auto"/>
            <w:right w:val="single" w:sz="4" w:space="0" w:color="auto"/>
          </w:tcBorders>
        </w:tcPr>
        <w:p w14:paraId="4DEF1D39" w14:textId="4E7EA5A5" w:rsidR="00192BA2" w:rsidRPr="00C06D1A" w:rsidRDefault="00DA4663" w:rsidP="003A7091">
          <w:pPr>
            <w:rPr>
              <w:rFonts w:cs="Arial"/>
              <w:sz w:val="28"/>
              <w:szCs w:val="28"/>
            </w:rPr>
          </w:pPr>
          <w:r w:rsidRPr="00C06D1A">
            <w:rPr>
              <w:rFonts w:cs="Arial"/>
              <w:noProof/>
            </w:rPr>
            <w:drawing>
              <wp:anchor distT="0" distB="0" distL="114300" distR="114300" simplePos="0" relativeHeight="251673600" behindDoc="0" locked="0" layoutInCell="1" allowOverlap="1" wp14:anchorId="42390581" wp14:editId="2094FBE2">
                <wp:simplePos x="0" y="0"/>
                <wp:positionH relativeFrom="column">
                  <wp:posOffset>3919382</wp:posOffset>
                </wp:positionH>
                <wp:positionV relativeFrom="paragraph">
                  <wp:posOffset>-30480</wp:posOffset>
                </wp:positionV>
                <wp:extent cx="1088390" cy="518160"/>
                <wp:effectExtent l="0" t="0" r="0" b="0"/>
                <wp:wrapNone/>
                <wp:docPr id="2" name="Picture 2" descr="cid:image001.png@01D3D180.1CC6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D180.1CC6DC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8839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054">
            <w:rPr>
              <w:rFonts w:cs="Arial"/>
              <w:szCs w:val="28"/>
            </w:rPr>
            <w:t>Confidentiality</w:t>
          </w:r>
        </w:p>
      </w:tc>
    </w:tr>
    <w:tr w:rsidR="00192BA2" w14:paraId="72E7D627" w14:textId="77777777" w:rsidTr="00DA4663">
      <w:tc>
        <w:tcPr>
          <w:tcW w:w="1861" w:type="dxa"/>
          <w:tcBorders>
            <w:top w:val="single" w:sz="4" w:space="0" w:color="auto"/>
            <w:left w:val="single" w:sz="4" w:space="0" w:color="auto"/>
            <w:bottom w:val="single" w:sz="4" w:space="0" w:color="auto"/>
            <w:right w:val="single" w:sz="4" w:space="0" w:color="auto"/>
          </w:tcBorders>
          <w:shd w:val="clear" w:color="auto" w:fill="595959"/>
          <w:hideMark/>
        </w:tcPr>
        <w:p w14:paraId="7DEE029C" w14:textId="77777777" w:rsidR="00192BA2" w:rsidRPr="00C06D1A" w:rsidRDefault="00192BA2" w:rsidP="008C28E4">
          <w:pPr>
            <w:pStyle w:val="Header"/>
            <w:rPr>
              <w:rFonts w:cs="Arial"/>
              <w:b/>
              <w:color w:val="FFFFFF"/>
            </w:rPr>
          </w:pPr>
          <w:r w:rsidRPr="00C06D1A">
            <w:rPr>
              <w:rFonts w:cs="Arial"/>
              <w:b/>
              <w:color w:val="FFFFFF"/>
            </w:rPr>
            <w:t>Reviewed</w:t>
          </w:r>
        </w:p>
      </w:tc>
      <w:tc>
        <w:tcPr>
          <w:tcW w:w="6123" w:type="dxa"/>
          <w:tcBorders>
            <w:top w:val="single" w:sz="4" w:space="0" w:color="auto"/>
            <w:left w:val="single" w:sz="4" w:space="0" w:color="auto"/>
            <w:bottom w:val="single" w:sz="4" w:space="0" w:color="auto"/>
            <w:right w:val="single" w:sz="4" w:space="0" w:color="auto"/>
          </w:tcBorders>
          <w:hideMark/>
        </w:tcPr>
        <w:p w14:paraId="2EE71A47" w14:textId="3774E25B" w:rsidR="00192BA2" w:rsidRPr="00C06D1A" w:rsidRDefault="00CD6054" w:rsidP="008C28E4">
          <w:pPr>
            <w:pStyle w:val="Header"/>
            <w:rPr>
              <w:rFonts w:cs="Arial"/>
            </w:rPr>
          </w:pPr>
          <w:r>
            <w:rPr>
              <w:rFonts w:cs="Arial"/>
            </w:rPr>
            <w:t>March 2017</w:t>
          </w:r>
        </w:p>
      </w:tc>
    </w:tr>
  </w:tbl>
  <w:p w14:paraId="430F977F" w14:textId="77777777" w:rsidR="00192BA2" w:rsidRDefault="00192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9" w:type="dxa"/>
      <w:tblInd w:w="108" w:type="dxa"/>
      <w:tblLook w:val="01E0" w:firstRow="1" w:lastRow="1" w:firstColumn="1" w:lastColumn="1" w:noHBand="0" w:noVBand="0"/>
    </w:tblPr>
    <w:tblGrid>
      <w:gridCol w:w="7910"/>
      <w:gridCol w:w="1829"/>
    </w:tblGrid>
    <w:tr w:rsidR="00192BA2" w14:paraId="132DF816" w14:textId="77777777" w:rsidTr="00610C7C">
      <w:trPr>
        <w:trHeight w:val="570"/>
      </w:trPr>
      <w:tc>
        <w:tcPr>
          <w:tcW w:w="6852" w:type="dxa"/>
          <w:hideMark/>
        </w:tcPr>
        <w:tbl>
          <w:tblP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1"/>
            <w:gridCol w:w="1120"/>
            <w:gridCol w:w="1177"/>
            <w:gridCol w:w="1051"/>
            <w:gridCol w:w="1347"/>
            <w:gridCol w:w="1128"/>
          </w:tblGrid>
          <w:tr w:rsidR="00192BA2" w14:paraId="531966FC" w14:textId="77777777" w:rsidTr="00610C7C">
            <w:tc>
              <w:tcPr>
                <w:tcW w:w="1866" w:type="dxa"/>
                <w:tcBorders>
                  <w:top w:val="single" w:sz="4" w:space="0" w:color="auto"/>
                  <w:left w:val="single" w:sz="4" w:space="0" w:color="auto"/>
                  <w:bottom w:val="single" w:sz="4" w:space="0" w:color="auto"/>
                  <w:right w:val="single" w:sz="4" w:space="0" w:color="auto"/>
                </w:tcBorders>
                <w:shd w:val="clear" w:color="auto" w:fill="595959"/>
              </w:tcPr>
              <w:p w14:paraId="040994C2" w14:textId="77777777" w:rsidR="00192BA2" w:rsidRDefault="00192BA2" w:rsidP="00610C7C">
                <w:pPr>
                  <w:pStyle w:val="Header"/>
                  <w:spacing w:before="120"/>
                  <w:rPr>
                    <w:rFonts w:ascii="Trebuchet MS" w:hAnsi="Trebuchet MS" w:cs="Arial"/>
                    <w:b/>
                    <w:color w:val="FFFFFF"/>
                  </w:rPr>
                </w:pPr>
                <w:r>
                  <w:rPr>
                    <w:rFonts w:ascii="Trebuchet MS" w:hAnsi="Trebuchet MS" w:cs="Arial"/>
                    <w:b/>
                    <w:color w:val="FFFFFF"/>
                  </w:rPr>
                  <w:t>Policy title:</w:t>
                </w:r>
              </w:p>
              <w:p w14:paraId="7E9C7BDD" w14:textId="77777777" w:rsidR="00192BA2" w:rsidRDefault="00192BA2" w:rsidP="00610C7C">
                <w:pPr>
                  <w:pStyle w:val="Header"/>
                  <w:spacing w:before="120"/>
                  <w:rPr>
                    <w:rFonts w:ascii="Trebuchet MS" w:hAnsi="Trebuchet MS" w:cs="Arial"/>
                    <w:b/>
                    <w:sz w:val="28"/>
                  </w:rPr>
                </w:pPr>
              </w:p>
            </w:tc>
            <w:tc>
              <w:tcPr>
                <w:tcW w:w="5818" w:type="dxa"/>
                <w:gridSpan w:val="5"/>
                <w:tcBorders>
                  <w:top w:val="single" w:sz="4" w:space="0" w:color="auto"/>
                  <w:left w:val="single" w:sz="4" w:space="0" w:color="auto"/>
                  <w:bottom w:val="single" w:sz="4" w:space="0" w:color="auto"/>
                  <w:right w:val="single" w:sz="4" w:space="0" w:color="auto"/>
                </w:tcBorders>
              </w:tcPr>
              <w:p w14:paraId="5448BFA0" w14:textId="77777777" w:rsidR="00192BA2" w:rsidRDefault="00192BA2" w:rsidP="00610C7C">
                <w:pPr>
                  <w:spacing w:before="120" w:after="120"/>
                  <w:rPr>
                    <w:rFonts w:ascii="Trebuchet MS" w:hAnsi="Trebuchet MS"/>
                    <w:sz w:val="28"/>
                    <w:szCs w:val="28"/>
                  </w:rPr>
                </w:pPr>
                <w:r>
                  <w:rPr>
                    <w:rFonts w:ascii="Trebuchet MS" w:hAnsi="Trebuchet MS"/>
                    <w:sz w:val="28"/>
                    <w:szCs w:val="28"/>
                  </w:rPr>
                  <w:t>[ ]</w:t>
                </w:r>
              </w:p>
              <w:p w14:paraId="05EC3E29" w14:textId="77777777" w:rsidR="00192BA2" w:rsidRDefault="00192BA2" w:rsidP="00610C7C">
                <w:pPr>
                  <w:pStyle w:val="Header"/>
                  <w:spacing w:before="120"/>
                  <w:rPr>
                    <w:rFonts w:ascii="Trebuchet MS" w:hAnsi="Trebuchet MS" w:cs="Arial"/>
                    <w:b/>
                    <w:sz w:val="28"/>
                  </w:rPr>
                </w:pPr>
              </w:p>
            </w:tc>
          </w:tr>
          <w:tr w:rsidR="00192BA2" w14:paraId="7A3BBE22" w14:textId="77777777" w:rsidTr="00610C7C">
            <w:tc>
              <w:tcPr>
                <w:tcW w:w="1866" w:type="dxa"/>
                <w:tcBorders>
                  <w:top w:val="single" w:sz="4" w:space="0" w:color="auto"/>
                  <w:left w:val="single" w:sz="4" w:space="0" w:color="auto"/>
                  <w:bottom w:val="single" w:sz="4" w:space="0" w:color="auto"/>
                  <w:right w:val="single" w:sz="4" w:space="0" w:color="auto"/>
                </w:tcBorders>
                <w:shd w:val="clear" w:color="auto" w:fill="595959"/>
                <w:hideMark/>
              </w:tcPr>
              <w:p w14:paraId="1090C550" w14:textId="77777777" w:rsidR="00192BA2" w:rsidRDefault="00192BA2" w:rsidP="00610C7C">
                <w:pPr>
                  <w:pStyle w:val="Header"/>
                  <w:spacing w:before="120" w:after="120"/>
                  <w:rPr>
                    <w:rFonts w:ascii="Trebuchet MS" w:hAnsi="Trebuchet MS" w:cs="Arial"/>
                    <w:b/>
                    <w:color w:val="FFFFFF"/>
                  </w:rPr>
                </w:pPr>
                <w:r>
                  <w:rPr>
                    <w:rFonts w:ascii="Trebuchet MS" w:hAnsi="Trebuchet MS" w:cs="Arial"/>
                    <w:b/>
                    <w:color w:val="FFFFFF"/>
                  </w:rPr>
                  <w:t>Policy code:</w:t>
                </w:r>
              </w:p>
            </w:tc>
            <w:tc>
              <w:tcPr>
                <w:tcW w:w="1124" w:type="dxa"/>
                <w:tcBorders>
                  <w:top w:val="single" w:sz="4" w:space="0" w:color="auto"/>
                  <w:left w:val="single" w:sz="4" w:space="0" w:color="auto"/>
                  <w:bottom w:val="single" w:sz="4" w:space="0" w:color="auto"/>
                  <w:right w:val="single" w:sz="4" w:space="0" w:color="auto"/>
                </w:tcBorders>
                <w:hideMark/>
              </w:tcPr>
              <w:p w14:paraId="1CEE59E4" w14:textId="77777777" w:rsidR="00192BA2" w:rsidRDefault="00192BA2" w:rsidP="00610C7C">
                <w:pPr>
                  <w:pStyle w:val="Header"/>
                  <w:spacing w:before="120" w:after="120"/>
                  <w:rPr>
                    <w:rFonts w:ascii="Trebuchet MS" w:hAnsi="Trebuchet MS" w:cs="Arial"/>
                  </w:rPr>
                </w:pPr>
                <w:r>
                  <w:rPr>
                    <w:rFonts w:ascii="Trebuchet MS" w:hAnsi="Trebuchet MS" w:cs="Arial"/>
                  </w:rPr>
                  <w:t>[ ]</w:t>
                </w:r>
              </w:p>
            </w:tc>
            <w:tc>
              <w:tcPr>
                <w:tcW w:w="1177" w:type="dxa"/>
                <w:tcBorders>
                  <w:top w:val="single" w:sz="4" w:space="0" w:color="auto"/>
                  <w:left w:val="single" w:sz="4" w:space="0" w:color="auto"/>
                  <w:bottom w:val="single" w:sz="4" w:space="0" w:color="auto"/>
                  <w:right w:val="single" w:sz="4" w:space="0" w:color="auto"/>
                </w:tcBorders>
                <w:shd w:val="clear" w:color="auto" w:fill="595959"/>
                <w:hideMark/>
              </w:tcPr>
              <w:p w14:paraId="7EFB52C5" w14:textId="77777777" w:rsidR="00192BA2" w:rsidRDefault="00192BA2" w:rsidP="00610C7C">
                <w:pPr>
                  <w:pStyle w:val="Header"/>
                  <w:spacing w:before="120" w:after="120"/>
                  <w:rPr>
                    <w:rFonts w:ascii="Trebuchet MS" w:hAnsi="Trebuchet MS" w:cs="Arial"/>
                    <w:b/>
                    <w:color w:val="FFFFFF"/>
                  </w:rPr>
                </w:pPr>
                <w:r>
                  <w:rPr>
                    <w:rFonts w:ascii="Trebuchet MS" w:hAnsi="Trebuchet MS" w:cs="Arial"/>
                    <w:b/>
                    <w:color w:val="FFFFFF"/>
                  </w:rPr>
                  <w:t>Version:</w:t>
                </w:r>
              </w:p>
            </w:tc>
            <w:tc>
              <w:tcPr>
                <w:tcW w:w="1055" w:type="dxa"/>
                <w:tcBorders>
                  <w:top w:val="single" w:sz="4" w:space="0" w:color="auto"/>
                  <w:left w:val="single" w:sz="4" w:space="0" w:color="auto"/>
                  <w:bottom w:val="single" w:sz="4" w:space="0" w:color="auto"/>
                  <w:right w:val="single" w:sz="4" w:space="0" w:color="auto"/>
                </w:tcBorders>
                <w:hideMark/>
              </w:tcPr>
              <w:p w14:paraId="0AA352B2" w14:textId="77777777" w:rsidR="00192BA2" w:rsidRDefault="00192BA2" w:rsidP="00610C7C">
                <w:pPr>
                  <w:pStyle w:val="Header"/>
                  <w:spacing w:before="120" w:after="120"/>
                  <w:rPr>
                    <w:rFonts w:ascii="Trebuchet MS" w:hAnsi="Trebuchet MS" w:cs="Arial"/>
                  </w:rPr>
                </w:pPr>
                <w:r>
                  <w:rPr>
                    <w:rFonts w:ascii="Trebuchet MS" w:hAnsi="Trebuchet MS" w:cs="Arial"/>
                  </w:rPr>
                  <w:t xml:space="preserve"> [ ]</w:t>
                </w:r>
              </w:p>
            </w:tc>
            <w:tc>
              <w:tcPr>
                <w:tcW w:w="1330" w:type="dxa"/>
                <w:tcBorders>
                  <w:top w:val="single" w:sz="4" w:space="0" w:color="auto"/>
                  <w:left w:val="single" w:sz="4" w:space="0" w:color="auto"/>
                  <w:bottom w:val="single" w:sz="4" w:space="0" w:color="auto"/>
                  <w:right w:val="single" w:sz="4" w:space="0" w:color="auto"/>
                </w:tcBorders>
                <w:shd w:val="clear" w:color="auto" w:fill="595959"/>
                <w:hideMark/>
              </w:tcPr>
              <w:p w14:paraId="36A82558" w14:textId="77777777" w:rsidR="00192BA2" w:rsidRDefault="00192BA2" w:rsidP="00610C7C">
                <w:pPr>
                  <w:pStyle w:val="Header"/>
                  <w:spacing w:before="120" w:after="120"/>
                  <w:rPr>
                    <w:rFonts w:ascii="Trebuchet MS" w:hAnsi="Trebuchet MS" w:cs="Arial"/>
                    <w:b/>
                    <w:color w:val="FFFFFF"/>
                  </w:rPr>
                </w:pPr>
                <w:r>
                  <w:rPr>
                    <w:rFonts w:ascii="Trebuchet MS" w:hAnsi="Trebuchet MS" w:cs="Arial"/>
                    <w:b/>
                    <w:color w:val="FFFFFF"/>
                  </w:rPr>
                  <w:t>Last reviewed:</w:t>
                </w:r>
              </w:p>
            </w:tc>
            <w:tc>
              <w:tcPr>
                <w:tcW w:w="1132" w:type="dxa"/>
                <w:tcBorders>
                  <w:top w:val="single" w:sz="4" w:space="0" w:color="auto"/>
                  <w:left w:val="single" w:sz="4" w:space="0" w:color="auto"/>
                  <w:bottom w:val="single" w:sz="4" w:space="0" w:color="auto"/>
                  <w:right w:val="single" w:sz="4" w:space="0" w:color="auto"/>
                </w:tcBorders>
                <w:hideMark/>
              </w:tcPr>
              <w:p w14:paraId="6BAD8106" w14:textId="77777777" w:rsidR="00192BA2" w:rsidRDefault="00192BA2" w:rsidP="00610C7C">
                <w:pPr>
                  <w:pStyle w:val="Header"/>
                  <w:spacing w:before="120" w:after="120"/>
                  <w:rPr>
                    <w:rFonts w:ascii="Trebuchet MS" w:hAnsi="Trebuchet MS" w:cs="Arial"/>
                  </w:rPr>
                </w:pPr>
                <w:r>
                  <w:rPr>
                    <w:rFonts w:ascii="Trebuchet MS" w:hAnsi="Trebuchet MS" w:cs="Arial"/>
                  </w:rPr>
                  <w:t>[ ]</w:t>
                </w:r>
              </w:p>
            </w:tc>
          </w:tr>
        </w:tbl>
        <w:p w14:paraId="60FA2166" w14:textId="77777777" w:rsidR="00192BA2" w:rsidRDefault="00192BA2">
          <w:pPr>
            <w:pStyle w:val="Header"/>
            <w:rPr>
              <w:rFonts w:ascii="Trebuchet MS" w:hAnsi="Trebuchet MS" w:cs="Arial"/>
              <w:b/>
            </w:rPr>
          </w:pPr>
        </w:p>
      </w:tc>
      <w:tc>
        <w:tcPr>
          <w:tcW w:w="2887" w:type="dxa"/>
          <w:hideMark/>
        </w:tcPr>
        <w:p w14:paraId="76E03A6A" w14:textId="77777777" w:rsidR="00192BA2" w:rsidRDefault="00192BA2">
          <w:pPr>
            <w:pStyle w:val="Header"/>
            <w:rPr>
              <w:rFonts w:ascii="Trebuchet MS" w:hAnsi="Trebuchet MS" w:cs="Arial"/>
              <w:b/>
            </w:rPr>
          </w:pPr>
          <w:r>
            <w:rPr>
              <w:noProof/>
            </w:rPr>
            <w:drawing>
              <wp:anchor distT="0" distB="0" distL="114300" distR="114300" simplePos="0" relativeHeight="251659264" behindDoc="1" locked="0" layoutInCell="1" allowOverlap="1" wp14:anchorId="0E8FD4A9" wp14:editId="3EDE1CC7">
                <wp:simplePos x="0" y="0"/>
                <wp:positionH relativeFrom="column">
                  <wp:posOffset>30480</wp:posOffset>
                </wp:positionH>
                <wp:positionV relativeFrom="paragraph">
                  <wp:posOffset>0</wp:posOffset>
                </wp:positionV>
                <wp:extent cx="571500" cy="571500"/>
                <wp:effectExtent l="0" t="0" r="0" b="0"/>
                <wp:wrapTight wrapText="bothSides">
                  <wp:wrapPolygon edited="0">
                    <wp:start x="0" y="0"/>
                    <wp:lineTo x="0" y="20880"/>
                    <wp:lineTo x="20880" y="20880"/>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tc>
    </w:tr>
  </w:tbl>
  <w:p w14:paraId="659315F8" w14:textId="77777777" w:rsidR="00192BA2" w:rsidRDefault="0019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B15"/>
    <w:multiLevelType w:val="hybridMultilevel"/>
    <w:tmpl w:val="C01EF3FC"/>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057411"/>
    <w:multiLevelType w:val="multilevel"/>
    <w:tmpl w:val="4C76D906"/>
    <w:lvl w:ilvl="0">
      <w:start w:val="1"/>
      <w:numFmt w:val="decimal"/>
      <w:lvlText w:val="%1"/>
      <w:lvlJc w:val="left"/>
      <w:pPr>
        <w:tabs>
          <w:tab w:val="num" w:pos="432"/>
        </w:tabs>
        <w:ind w:left="432" w:hanging="432"/>
      </w:pPr>
      <w:rPr>
        <w:rFonts w:ascii="Arial" w:hAnsi="Arial" w:cs="Arial" w:hint="default"/>
        <w:sz w:val="32"/>
      </w:rPr>
    </w:lvl>
    <w:lvl w:ilvl="1">
      <w:start w:val="1"/>
      <w:numFmt w:val="bullet"/>
      <w:lvlText w:val=""/>
      <w:lvlJc w:val="left"/>
      <w:pPr>
        <w:tabs>
          <w:tab w:val="num" w:pos="576"/>
        </w:tabs>
        <w:ind w:left="576" w:hanging="576"/>
      </w:pPr>
      <w:rPr>
        <w:rFonts w:ascii="Symbol" w:hAnsi="Symbol" w:hint="default"/>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64D6A6C"/>
    <w:multiLevelType w:val="multilevel"/>
    <w:tmpl w:val="45067348"/>
    <w:lvl w:ilvl="0">
      <w:start w:val="7"/>
      <w:numFmt w:val="decimal"/>
      <w:lvlText w:val="%1."/>
      <w:lvlJc w:val="left"/>
      <w:pPr>
        <w:ind w:left="2487" w:hanging="360"/>
      </w:pPr>
      <w:rPr>
        <w:rFonts w:hint="default"/>
        <w:b/>
        <w:sz w:val="22"/>
        <w:szCs w:val="28"/>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3">
    <w:nsid w:val="0A970121"/>
    <w:multiLevelType w:val="hybridMultilevel"/>
    <w:tmpl w:val="22E0588C"/>
    <w:lvl w:ilvl="0" w:tplc="5FBAC370">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ED3AE5"/>
    <w:multiLevelType w:val="hybridMultilevel"/>
    <w:tmpl w:val="611491E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2224AFF"/>
    <w:multiLevelType w:val="multilevel"/>
    <w:tmpl w:val="53D69712"/>
    <w:lvl w:ilvl="0">
      <w:start w:val="1"/>
      <w:numFmt w:val="decimal"/>
      <w:pStyle w:val="Heading1"/>
      <w:lvlText w:val="%1"/>
      <w:lvlJc w:val="left"/>
      <w:pPr>
        <w:tabs>
          <w:tab w:val="num" w:pos="432"/>
        </w:tabs>
        <w:ind w:left="432" w:hanging="432"/>
      </w:pPr>
      <w:rPr>
        <w:rFonts w:ascii="Arial" w:hAnsi="Arial" w:cs="Arial" w:hint="default"/>
        <w:i w:val="0"/>
        <w:sz w:val="28"/>
      </w:rPr>
    </w:lvl>
    <w:lvl w:ilvl="1">
      <w:start w:val="1"/>
      <w:numFmt w:val="decimal"/>
      <w:pStyle w:val="Heading2"/>
      <w:lvlText w:val="%1.%2"/>
      <w:lvlJc w:val="left"/>
      <w:pPr>
        <w:tabs>
          <w:tab w:val="num" w:pos="1002"/>
        </w:tabs>
        <w:ind w:left="1002" w:hanging="576"/>
      </w:pPr>
      <w:rPr>
        <w:rFonts w:ascii="Arial" w:hAnsi="Arial" w:cs="Arial" w:hint="default"/>
        <w:b w:val="0"/>
        <w:i w:val="0"/>
        <w:sz w:val="24"/>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
    <w:nsid w:val="195922CC"/>
    <w:multiLevelType w:val="hybridMultilevel"/>
    <w:tmpl w:val="8AF0B346"/>
    <w:lvl w:ilvl="0" w:tplc="0B16CEC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BD1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9E3C56"/>
    <w:multiLevelType w:val="hybridMultilevel"/>
    <w:tmpl w:val="A7A63C06"/>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0C1FB4"/>
    <w:multiLevelType w:val="hybridMultilevel"/>
    <w:tmpl w:val="F5BCE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101CF9"/>
    <w:multiLevelType w:val="hybridMultilevel"/>
    <w:tmpl w:val="4E349924"/>
    <w:lvl w:ilvl="0" w:tplc="08090001">
      <w:start w:val="1"/>
      <w:numFmt w:val="bullet"/>
      <w:lvlText w:val=""/>
      <w:lvlJc w:val="left"/>
      <w:pPr>
        <w:ind w:left="1800" w:hanging="360"/>
      </w:pPr>
      <w:rPr>
        <w:rFonts w:ascii="Symbol" w:hAnsi="Symbol" w:hint="default"/>
        <w:b/>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92241D9"/>
    <w:multiLevelType w:val="multilevel"/>
    <w:tmpl w:val="2ED2A1C8"/>
    <w:lvl w:ilvl="0">
      <w:start w:val="1"/>
      <w:numFmt w:val="decimal"/>
      <w:lvlText w:val="%1."/>
      <w:lvlJc w:val="left"/>
      <w:pPr>
        <w:ind w:left="2487" w:hanging="360"/>
      </w:pPr>
      <w:rPr>
        <w:b/>
        <w:sz w:val="28"/>
        <w:szCs w:val="28"/>
      </w:rPr>
    </w:lvl>
    <w:lvl w:ilvl="1">
      <w:start w:val="1"/>
      <w:numFmt w:val="decimal"/>
      <w:isLgl/>
      <w:lvlText w:val="%1.%2"/>
      <w:lvlJc w:val="left"/>
      <w:pPr>
        <w:ind w:left="2847" w:hanging="720"/>
      </w:pPr>
      <w:rPr>
        <w:b w:val="0"/>
        <w:sz w:val="24"/>
      </w:rPr>
    </w:lvl>
    <w:lvl w:ilvl="2">
      <w:start w:val="1"/>
      <w:numFmt w:val="decimal"/>
      <w:isLgl/>
      <w:lvlText w:val="%1.%2.%3"/>
      <w:lvlJc w:val="left"/>
      <w:pPr>
        <w:ind w:left="2847" w:hanging="720"/>
      </w:pPr>
    </w:lvl>
    <w:lvl w:ilvl="3">
      <w:start w:val="1"/>
      <w:numFmt w:val="decimal"/>
      <w:isLgl/>
      <w:lvlText w:val="%1.%2.%3.%4"/>
      <w:lvlJc w:val="left"/>
      <w:pPr>
        <w:ind w:left="3207" w:hanging="1080"/>
      </w:pPr>
    </w:lvl>
    <w:lvl w:ilvl="4">
      <w:start w:val="1"/>
      <w:numFmt w:val="decimal"/>
      <w:isLgl/>
      <w:lvlText w:val="%1.%2.%3.%4.%5"/>
      <w:lvlJc w:val="left"/>
      <w:pPr>
        <w:ind w:left="3207" w:hanging="1080"/>
      </w:pPr>
    </w:lvl>
    <w:lvl w:ilvl="5">
      <w:start w:val="1"/>
      <w:numFmt w:val="decimal"/>
      <w:isLgl/>
      <w:lvlText w:val="%1.%2.%3.%4.%5.%6"/>
      <w:lvlJc w:val="left"/>
      <w:pPr>
        <w:ind w:left="3567" w:hanging="1440"/>
      </w:pPr>
    </w:lvl>
    <w:lvl w:ilvl="6">
      <w:start w:val="1"/>
      <w:numFmt w:val="decimal"/>
      <w:isLgl/>
      <w:lvlText w:val="%1.%2.%3.%4.%5.%6.%7"/>
      <w:lvlJc w:val="left"/>
      <w:pPr>
        <w:ind w:left="3927" w:hanging="1800"/>
      </w:pPr>
    </w:lvl>
    <w:lvl w:ilvl="7">
      <w:start w:val="1"/>
      <w:numFmt w:val="decimal"/>
      <w:isLgl/>
      <w:lvlText w:val="%1.%2.%3.%4.%5.%6.%7.%8"/>
      <w:lvlJc w:val="left"/>
      <w:pPr>
        <w:ind w:left="3927" w:hanging="1800"/>
      </w:pPr>
    </w:lvl>
    <w:lvl w:ilvl="8">
      <w:start w:val="1"/>
      <w:numFmt w:val="decimal"/>
      <w:isLgl/>
      <w:lvlText w:val="%1.%2.%3.%4.%5.%6.%7.%8.%9"/>
      <w:lvlJc w:val="left"/>
      <w:pPr>
        <w:ind w:left="4287" w:hanging="2160"/>
      </w:pPr>
    </w:lvl>
  </w:abstractNum>
  <w:abstractNum w:abstractNumId="12">
    <w:nsid w:val="2A036FA5"/>
    <w:multiLevelType w:val="hybridMultilevel"/>
    <w:tmpl w:val="483A64DC"/>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0407CB"/>
    <w:multiLevelType w:val="hybridMultilevel"/>
    <w:tmpl w:val="7020FEB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nsid w:val="3B045354"/>
    <w:multiLevelType w:val="hybridMultilevel"/>
    <w:tmpl w:val="5CA81C5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40675F14"/>
    <w:multiLevelType w:val="hybridMultilevel"/>
    <w:tmpl w:val="D8389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CD79C2"/>
    <w:multiLevelType w:val="hybridMultilevel"/>
    <w:tmpl w:val="C8F63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ABD00CE"/>
    <w:multiLevelType w:val="hybridMultilevel"/>
    <w:tmpl w:val="3EC813F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FAC43F7"/>
    <w:multiLevelType w:val="multilevel"/>
    <w:tmpl w:val="4C76D906"/>
    <w:lvl w:ilvl="0">
      <w:start w:val="1"/>
      <w:numFmt w:val="decimal"/>
      <w:lvlText w:val="%1"/>
      <w:lvlJc w:val="left"/>
      <w:pPr>
        <w:tabs>
          <w:tab w:val="num" w:pos="432"/>
        </w:tabs>
        <w:ind w:left="432" w:hanging="432"/>
      </w:pPr>
      <w:rPr>
        <w:rFonts w:ascii="Arial" w:hAnsi="Arial" w:cs="Arial" w:hint="default"/>
        <w:sz w:val="32"/>
      </w:rPr>
    </w:lvl>
    <w:lvl w:ilvl="1">
      <w:start w:val="1"/>
      <w:numFmt w:val="bullet"/>
      <w:lvlText w:val=""/>
      <w:lvlJc w:val="left"/>
      <w:pPr>
        <w:tabs>
          <w:tab w:val="num" w:pos="576"/>
        </w:tabs>
        <w:ind w:left="576" w:hanging="576"/>
      </w:pPr>
      <w:rPr>
        <w:rFonts w:ascii="Symbol" w:hAnsi="Symbol" w:hint="default"/>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FFE12A5"/>
    <w:multiLevelType w:val="hybridMultilevel"/>
    <w:tmpl w:val="05B201E4"/>
    <w:lvl w:ilvl="0" w:tplc="6ACEBFFA">
      <w:start w:val="1"/>
      <w:numFmt w:val="decimal"/>
      <w:lvlText w:val="2.%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46138B"/>
    <w:multiLevelType w:val="hybridMultilevel"/>
    <w:tmpl w:val="01D23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C934D54"/>
    <w:multiLevelType w:val="hybridMultilevel"/>
    <w:tmpl w:val="C3EA7E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65C90CD4"/>
    <w:multiLevelType w:val="hybridMultilevel"/>
    <w:tmpl w:val="B2F29FC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nsid w:val="6BC8168A"/>
    <w:multiLevelType w:val="hybridMultilevel"/>
    <w:tmpl w:val="B55634FA"/>
    <w:lvl w:ilvl="0" w:tplc="08090001">
      <w:start w:val="1"/>
      <w:numFmt w:val="bullet"/>
      <w:lvlText w:val=""/>
      <w:lvlJc w:val="left"/>
      <w:pPr>
        <w:ind w:left="1722" w:hanging="360"/>
      </w:pPr>
      <w:rPr>
        <w:rFonts w:ascii="Symbol" w:hAnsi="Symbol"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24">
    <w:nsid w:val="7C8E3776"/>
    <w:multiLevelType w:val="hybridMultilevel"/>
    <w:tmpl w:val="BC408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13"/>
  </w:num>
  <w:num w:numId="4">
    <w:abstractNumId w:val="19"/>
  </w:num>
  <w:num w:numId="5">
    <w:abstractNumId w:val="15"/>
  </w:num>
  <w:num w:numId="6">
    <w:abstractNumId w:val="3"/>
  </w:num>
  <w:num w:numId="7">
    <w:abstractNumId w:val="20"/>
  </w:num>
  <w:num w:numId="8">
    <w:abstractNumId w:val="10"/>
  </w:num>
  <w:num w:numId="9">
    <w:abstractNumId w:val="21"/>
  </w:num>
  <w:num w:numId="10">
    <w:abstractNumId w:val="5"/>
  </w:num>
  <w:num w:numId="11">
    <w:abstractNumId w:val="16"/>
  </w:num>
  <w:num w:numId="12">
    <w:abstractNumId w:val="18"/>
  </w:num>
  <w:num w:numId="13">
    <w:abstractNumId w:val="1"/>
  </w:num>
  <w:num w:numId="14">
    <w:abstractNumId w:val="12"/>
  </w:num>
  <w:num w:numId="15">
    <w:abstractNumId w:val="5"/>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8"/>
  </w:num>
  <w:num w:numId="21">
    <w:abstractNumId w:val="0"/>
  </w:num>
  <w:num w:numId="22">
    <w:abstractNumId w:val="7"/>
  </w:num>
  <w:num w:numId="23">
    <w:abstractNumId w:val="14"/>
  </w:num>
  <w:num w:numId="24">
    <w:abstractNumId w:val="9"/>
  </w:num>
  <w:num w:numId="25">
    <w:abstractNumId w:val="22"/>
  </w:num>
  <w:num w:numId="26">
    <w:abstractNumId w:val="2"/>
  </w:num>
  <w:num w:numId="27">
    <w:abstractNumId w:val="24"/>
  </w:num>
  <w:num w:numId="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7A"/>
    <w:rsid w:val="0003731F"/>
    <w:rsid w:val="00042786"/>
    <w:rsid w:val="000557AC"/>
    <w:rsid w:val="00082892"/>
    <w:rsid w:val="00086090"/>
    <w:rsid w:val="00087FA9"/>
    <w:rsid w:val="00094BC1"/>
    <w:rsid w:val="000B3F5B"/>
    <w:rsid w:val="000D09D9"/>
    <w:rsid w:val="000D1051"/>
    <w:rsid w:val="000D67E4"/>
    <w:rsid w:val="00120741"/>
    <w:rsid w:val="00121B35"/>
    <w:rsid w:val="00147E6A"/>
    <w:rsid w:val="00154DC3"/>
    <w:rsid w:val="00157970"/>
    <w:rsid w:val="0016385F"/>
    <w:rsid w:val="00165F2D"/>
    <w:rsid w:val="00192BA2"/>
    <w:rsid w:val="00195EBF"/>
    <w:rsid w:val="001A2950"/>
    <w:rsid w:val="001B1482"/>
    <w:rsid w:val="001C02B6"/>
    <w:rsid w:val="001D0F96"/>
    <w:rsid w:val="001F0AE3"/>
    <w:rsid w:val="001F1DB3"/>
    <w:rsid w:val="001F6FA2"/>
    <w:rsid w:val="00203208"/>
    <w:rsid w:val="00206E7B"/>
    <w:rsid w:val="00214D2B"/>
    <w:rsid w:val="00221395"/>
    <w:rsid w:val="00222A90"/>
    <w:rsid w:val="00233B1A"/>
    <w:rsid w:val="002367C5"/>
    <w:rsid w:val="0025273F"/>
    <w:rsid w:val="002570EB"/>
    <w:rsid w:val="00263F26"/>
    <w:rsid w:val="002C63DD"/>
    <w:rsid w:val="002F0017"/>
    <w:rsid w:val="003053F7"/>
    <w:rsid w:val="00314F4B"/>
    <w:rsid w:val="00334ED2"/>
    <w:rsid w:val="00343C95"/>
    <w:rsid w:val="00351565"/>
    <w:rsid w:val="00361E82"/>
    <w:rsid w:val="003664FC"/>
    <w:rsid w:val="0037175B"/>
    <w:rsid w:val="003A7091"/>
    <w:rsid w:val="003B376A"/>
    <w:rsid w:val="003D43BA"/>
    <w:rsid w:val="00415957"/>
    <w:rsid w:val="004232CE"/>
    <w:rsid w:val="00426420"/>
    <w:rsid w:val="00445E6D"/>
    <w:rsid w:val="004727CD"/>
    <w:rsid w:val="004769AE"/>
    <w:rsid w:val="004A5B27"/>
    <w:rsid w:val="004C7C8A"/>
    <w:rsid w:val="004E23B9"/>
    <w:rsid w:val="004E443E"/>
    <w:rsid w:val="005203AC"/>
    <w:rsid w:val="00545BC7"/>
    <w:rsid w:val="00547C33"/>
    <w:rsid w:val="005526CF"/>
    <w:rsid w:val="0056716A"/>
    <w:rsid w:val="005B2531"/>
    <w:rsid w:val="005D531D"/>
    <w:rsid w:val="005E53D4"/>
    <w:rsid w:val="006052BF"/>
    <w:rsid w:val="00610C7C"/>
    <w:rsid w:val="0061588C"/>
    <w:rsid w:val="0061591E"/>
    <w:rsid w:val="0062153B"/>
    <w:rsid w:val="00627E41"/>
    <w:rsid w:val="00634DE6"/>
    <w:rsid w:val="006467D2"/>
    <w:rsid w:val="006806B0"/>
    <w:rsid w:val="00684E7C"/>
    <w:rsid w:val="00690521"/>
    <w:rsid w:val="00691A66"/>
    <w:rsid w:val="006F17AC"/>
    <w:rsid w:val="00741F0C"/>
    <w:rsid w:val="00757519"/>
    <w:rsid w:val="00766B18"/>
    <w:rsid w:val="007A538B"/>
    <w:rsid w:val="007B3578"/>
    <w:rsid w:val="007D6B69"/>
    <w:rsid w:val="007E78DC"/>
    <w:rsid w:val="007F22A8"/>
    <w:rsid w:val="00872F8F"/>
    <w:rsid w:val="008746A3"/>
    <w:rsid w:val="00882263"/>
    <w:rsid w:val="008A7D40"/>
    <w:rsid w:val="008B53F2"/>
    <w:rsid w:val="008C25DA"/>
    <w:rsid w:val="008C28E4"/>
    <w:rsid w:val="008C4333"/>
    <w:rsid w:val="008C43A4"/>
    <w:rsid w:val="008C5F79"/>
    <w:rsid w:val="008E056E"/>
    <w:rsid w:val="008E504B"/>
    <w:rsid w:val="0092049B"/>
    <w:rsid w:val="009328E1"/>
    <w:rsid w:val="0094268E"/>
    <w:rsid w:val="00981480"/>
    <w:rsid w:val="009B7B0A"/>
    <w:rsid w:val="009C6357"/>
    <w:rsid w:val="009C64F6"/>
    <w:rsid w:val="009C77D1"/>
    <w:rsid w:val="009E784E"/>
    <w:rsid w:val="009F155E"/>
    <w:rsid w:val="009F27CE"/>
    <w:rsid w:val="009F6194"/>
    <w:rsid w:val="00A1334C"/>
    <w:rsid w:val="00A17107"/>
    <w:rsid w:val="00A17740"/>
    <w:rsid w:val="00A2117D"/>
    <w:rsid w:val="00A27DFA"/>
    <w:rsid w:val="00A3273A"/>
    <w:rsid w:val="00A37291"/>
    <w:rsid w:val="00A462C7"/>
    <w:rsid w:val="00A94226"/>
    <w:rsid w:val="00A968F3"/>
    <w:rsid w:val="00AB0122"/>
    <w:rsid w:val="00AC5914"/>
    <w:rsid w:val="00AD5C97"/>
    <w:rsid w:val="00B16C5B"/>
    <w:rsid w:val="00B22493"/>
    <w:rsid w:val="00B37C11"/>
    <w:rsid w:val="00B62C98"/>
    <w:rsid w:val="00B71CEE"/>
    <w:rsid w:val="00B77F8A"/>
    <w:rsid w:val="00B80F62"/>
    <w:rsid w:val="00B87111"/>
    <w:rsid w:val="00BE6D4F"/>
    <w:rsid w:val="00C00B4D"/>
    <w:rsid w:val="00C05CFE"/>
    <w:rsid w:val="00C06D1A"/>
    <w:rsid w:val="00C14A7C"/>
    <w:rsid w:val="00C25035"/>
    <w:rsid w:val="00C302FC"/>
    <w:rsid w:val="00C46309"/>
    <w:rsid w:val="00C81494"/>
    <w:rsid w:val="00CA0B54"/>
    <w:rsid w:val="00CB67B9"/>
    <w:rsid w:val="00CD6054"/>
    <w:rsid w:val="00CE4D33"/>
    <w:rsid w:val="00CF0252"/>
    <w:rsid w:val="00D11DEE"/>
    <w:rsid w:val="00D130A9"/>
    <w:rsid w:val="00D217C2"/>
    <w:rsid w:val="00D35855"/>
    <w:rsid w:val="00D44B14"/>
    <w:rsid w:val="00D65898"/>
    <w:rsid w:val="00D81834"/>
    <w:rsid w:val="00D850CB"/>
    <w:rsid w:val="00D94E52"/>
    <w:rsid w:val="00DA4663"/>
    <w:rsid w:val="00DB0805"/>
    <w:rsid w:val="00DD0284"/>
    <w:rsid w:val="00DF2EB0"/>
    <w:rsid w:val="00DF7AFB"/>
    <w:rsid w:val="00E2007D"/>
    <w:rsid w:val="00E43707"/>
    <w:rsid w:val="00E467B9"/>
    <w:rsid w:val="00E81744"/>
    <w:rsid w:val="00EE1CCB"/>
    <w:rsid w:val="00F34BD1"/>
    <w:rsid w:val="00F35F44"/>
    <w:rsid w:val="00F441AD"/>
    <w:rsid w:val="00F7230F"/>
    <w:rsid w:val="00F7347A"/>
    <w:rsid w:val="00F96E25"/>
    <w:rsid w:val="00FE5D74"/>
    <w:rsid w:val="00FF20ED"/>
    <w:rsid w:val="00FF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4F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9"/>
    <w:qFormat/>
    <w:rsid w:val="00CD605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2367C5"/>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367C5"/>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2367C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367C5"/>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67C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367C5"/>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2367C5"/>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2367C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0C7C"/>
    <w:pPr>
      <w:tabs>
        <w:tab w:val="center" w:pos="4513"/>
        <w:tab w:val="right" w:pos="9026"/>
      </w:tabs>
    </w:pPr>
  </w:style>
  <w:style w:type="character" w:customStyle="1" w:styleId="HeaderChar">
    <w:name w:val="Header Char"/>
    <w:basedOn w:val="DefaultParagraphFont"/>
    <w:link w:val="Header"/>
    <w:uiPriority w:val="99"/>
    <w:rsid w:val="00610C7C"/>
    <w:rPr>
      <w:rFonts w:ascii="Arial" w:hAnsi="Arial"/>
      <w:sz w:val="24"/>
      <w:szCs w:val="24"/>
    </w:rPr>
  </w:style>
  <w:style w:type="paragraph" w:styleId="Footer">
    <w:name w:val="footer"/>
    <w:basedOn w:val="Normal"/>
    <w:link w:val="FooterChar"/>
    <w:rsid w:val="00610C7C"/>
    <w:pPr>
      <w:tabs>
        <w:tab w:val="center" w:pos="4513"/>
        <w:tab w:val="right" w:pos="9026"/>
      </w:tabs>
    </w:pPr>
  </w:style>
  <w:style w:type="character" w:customStyle="1" w:styleId="FooterChar">
    <w:name w:val="Footer Char"/>
    <w:basedOn w:val="DefaultParagraphFont"/>
    <w:link w:val="Footer"/>
    <w:rsid w:val="00610C7C"/>
    <w:rPr>
      <w:rFonts w:ascii="Arial" w:hAnsi="Arial"/>
      <w:sz w:val="24"/>
      <w:szCs w:val="24"/>
    </w:rPr>
  </w:style>
  <w:style w:type="character" w:styleId="PageNumber">
    <w:name w:val="page number"/>
    <w:basedOn w:val="DefaultParagraphFont"/>
    <w:uiPriority w:val="99"/>
    <w:unhideWhenUsed/>
    <w:rsid w:val="00610C7C"/>
    <w:rPr>
      <w:rFonts w:ascii="Times New Roman" w:hAnsi="Times New Roman" w:cs="Times New Roman" w:hint="default"/>
    </w:rPr>
  </w:style>
  <w:style w:type="paragraph" w:styleId="ListParagraph">
    <w:name w:val="List Paragraph"/>
    <w:basedOn w:val="Normal"/>
    <w:uiPriority w:val="34"/>
    <w:qFormat/>
    <w:rsid w:val="0061588C"/>
    <w:pPr>
      <w:ind w:left="720"/>
      <w:contextualSpacing/>
    </w:pPr>
    <w:rPr>
      <w:rFonts w:ascii="Times New Roman" w:hAnsi="Times New Roman"/>
    </w:rPr>
  </w:style>
  <w:style w:type="character" w:customStyle="1" w:styleId="Heading1Char">
    <w:name w:val="Heading 1 Char"/>
    <w:basedOn w:val="DefaultParagraphFont"/>
    <w:link w:val="Heading1"/>
    <w:uiPriority w:val="99"/>
    <w:rsid w:val="00CD6054"/>
    <w:rPr>
      <w:rFonts w:ascii="Arial" w:hAnsi="Arial" w:cs="Arial"/>
      <w:b/>
      <w:bCs/>
      <w:kern w:val="32"/>
      <w:sz w:val="28"/>
      <w:szCs w:val="32"/>
    </w:rPr>
  </w:style>
  <w:style w:type="character" w:customStyle="1" w:styleId="Heading2Char">
    <w:name w:val="Heading 2 Char"/>
    <w:basedOn w:val="DefaultParagraphFont"/>
    <w:link w:val="Heading2"/>
    <w:uiPriority w:val="99"/>
    <w:rsid w:val="002367C5"/>
    <w:rPr>
      <w:rFonts w:ascii="Arial" w:hAnsi="Arial" w:cs="Arial"/>
      <w:b/>
      <w:bCs/>
      <w:i/>
      <w:iCs/>
      <w:sz w:val="28"/>
      <w:szCs w:val="28"/>
    </w:rPr>
  </w:style>
  <w:style w:type="character" w:customStyle="1" w:styleId="Heading3Char">
    <w:name w:val="Heading 3 Char"/>
    <w:basedOn w:val="DefaultParagraphFont"/>
    <w:link w:val="Heading3"/>
    <w:uiPriority w:val="99"/>
    <w:rsid w:val="002367C5"/>
    <w:rPr>
      <w:rFonts w:ascii="Arial" w:hAnsi="Arial" w:cs="Arial"/>
      <w:b/>
      <w:bCs/>
      <w:sz w:val="26"/>
      <w:szCs w:val="26"/>
    </w:rPr>
  </w:style>
  <w:style w:type="character" w:customStyle="1" w:styleId="Heading4Char">
    <w:name w:val="Heading 4 Char"/>
    <w:basedOn w:val="DefaultParagraphFont"/>
    <w:link w:val="Heading4"/>
    <w:uiPriority w:val="99"/>
    <w:rsid w:val="002367C5"/>
    <w:rPr>
      <w:b/>
      <w:bCs/>
      <w:sz w:val="28"/>
      <w:szCs w:val="28"/>
    </w:rPr>
  </w:style>
  <w:style w:type="character" w:customStyle="1" w:styleId="Heading5Char">
    <w:name w:val="Heading 5 Char"/>
    <w:basedOn w:val="DefaultParagraphFont"/>
    <w:link w:val="Heading5"/>
    <w:uiPriority w:val="99"/>
    <w:rsid w:val="002367C5"/>
    <w:rPr>
      <w:b/>
      <w:bCs/>
      <w:i/>
      <w:iCs/>
      <w:sz w:val="26"/>
      <w:szCs w:val="26"/>
    </w:rPr>
  </w:style>
  <w:style w:type="character" w:customStyle="1" w:styleId="Heading6Char">
    <w:name w:val="Heading 6 Char"/>
    <w:basedOn w:val="DefaultParagraphFont"/>
    <w:link w:val="Heading6"/>
    <w:uiPriority w:val="99"/>
    <w:rsid w:val="002367C5"/>
    <w:rPr>
      <w:b/>
      <w:bCs/>
      <w:sz w:val="22"/>
      <w:szCs w:val="22"/>
    </w:rPr>
  </w:style>
  <w:style w:type="character" w:customStyle="1" w:styleId="Heading7Char">
    <w:name w:val="Heading 7 Char"/>
    <w:basedOn w:val="DefaultParagraphFont"/>
    <w:link w:val="Heading7"/>
    <w:uiPriority w:val="99"/>
    <w:rsid w:val="002367C5"/>
    <w:rPr>
      <w:sz w:val="24"/>
      <w:szCs w:val="24"/>
    </w:rPr>
  </w:style>
  <w:style w:type="character" w:customStyle="1" w:styleId="Heading8Char">
    <w:name w:val="Heading 8 Char"/>
    <w:basedOn w:val="DefaultParagraphFont"/>
    <w:link w:val="Heading8"/>
    <w:uiPriority w:val="99"/>
    <w:rsid w:val="002367C5"/>
    <w:rPr>
      <w:i/>
      <w:iCs/>
      <w:sz w:val="24"/>
      <w:szCs w:val="24"/>
    </w:rPr>
  </w:style>
  <w:style w:type="character" w:customStyle="1" w:styleId="Heading9Char">
    <w:name w:val="Heading 9 Char"/>
    <w:basedOn w:val="DefaultParagraphFont"/>
    <w:link w:val="Heading9"/>
    <w:uiPriority w:val="99"/>
    <w:rsid w:val="002367C5"/>
    <w:rPr>
      <w:rFonts w:ascii="Arial" w:hAnsi="Arial" w:cs="Arial"/>
      <w:sz w:val="22"/>
      <w:szCs w:val="22"/>
    </w:rPr>
  </w:style>
  <w:style w:type="paragraph" w:styleId="BalloonText">
    <w:name w:val="Balloon Text"/>
    <w:basedOn w:val="Normal"/>
    <w:link w:val="BalloonTextChar"/>
    <w:rsid w:val="0062153B"/>
    <w:rPr>
      <w:rFonts w:ascii="Tahoma" w:hAnsi="Tahoma" w:cs="Tahoma"/>
      <w:sz w:val="16"/>
      <w:szCs w:val="16"/>
    </w:rPr>
  </w:style>
  <w:style w:type="character" w:customStyle="1" w:styleId="BalloonTextChar">
    <w:name w:val="Balloon Text Char"/>
    <w:basedOn w:val="DefaultParagraphFont"/>
    <w:link w:val="BalloonText"/>
    <w:rsid w:val="0062153B"/>
    <w:rPr>
      <w:rFonts w:ascii="Tahoma" w:hAnsi="Tahoma" w:cs="Tahoma"/>
      <w:sz w:val="16"/>
      <w:szCs w:val="16"/>
    </w:rPr>
  </w:style>
  <w:style w:type="paragraph" w:customStyle="1" w:styleId="Default">
    <w:name w:val="Default"/>
    <w:rsid w:val="00FF20E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03208"/>
    <w:rPr>
      <w:sz w:val="16"/>
      <w:szCs w:val="16"/>
    </w:rPr>
  </w:style>
  <w:style w:type="paragraph" w:styleId="CommentText">
    <w:name w:val="annotation text"/>
    <w:basedOn w:val="Normal"/>
    <w:link w:val="CommentTextChar"/>
    <w:rsid w:val="00203208"/>
    <w:rPr>
      <w:sz w:val="20"/>
      <w:szCs w:val="20"/>
    </w:rPr>
  </w:style>
  <w:style w:type="character" w:customStyle="1" w:styleId="CommentTextChar">
    <w:name w:val="Comment Text Char"/>
    <w:basedOn w:val="DefaultParagraphFont"/>
    <w:link w:val="CommentText"/>
    <w:rsid w:val="00203208"/>
    <w:rPr>
      <w:rFonts w:ascii="Arial" w:hAnsi="Arial"/>
    </w:rPr>
  </w:style>
  <w:style w:type="paragraph" w:styleId="CommentSubject">
    <w:name w:val="annotation subject"/>
    <w:basedOn w:val="CommentText"/>
    <w:next w:val="CommentText"/>
    <w:link w:val="CommentSubjectChar"/>
    <w:rsid w:val="00203208"/>
    <w:rPr>
      <w:b/>
      <w:bCs/>
    </w:rPr>
  </w:style>
  <w:style w:type="character" w:customStyle="1" w:styleId="CommentSubjectChar">
    <w:name w:val="Comment Subject Char"/>
    <w:basedOn w:val="CommentTextChar"/>
    <w:link w:val="CommentSubject"/>
    <w:rsid w:val="00203208"/>
    <w:rPr>
      <w:rFonts w:ascii="Arial" w:hAnsi="Arial"/>
      <w:b/>
      <w:bCs/>
    </w:rPr>
  </w:style>
  <w:style w:type="paragraph" w:styleId="BodyTextIndent3">
    <w:name w:val="Body Text Indent 3"/>
    <w:basedOn w:val="Normal"/>
    <w:link w:val="BodyTextIndent3Char"/>
    <w:rsid w:val="00757519"/>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757519"/>
    <w:rPr>
      <w:rFonts w:ascii="Gill Sans" w:hAnsi="Gill Sans"/>
      <w:b/>
      <w:bCs/>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9"/>
    <w:qFormat/>
    <w:rsid w:val="00CD605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2367C5"/>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367C5"/>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2367C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367C5"/>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67C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367C5"/>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2367C5"/>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2367C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0C7C"/>
    <w:pPr>
      <w:tabs>
        <w:tab w:val="center" w:pos="4513"/>
        <w:tab w:val="right" w:pos="9026"/>
      </w:tabs>
    </w:pPr>
  </w:style>
  <w:style w:type="character" w:customStyle="1" w:styleId="HeaderChar">
    <w:name w:val="Header Char"/>
    <w:basedOn w:val="DefaultParagraphFont"/>
    <w:link w:val="Header"/>
    <w:uiPriority w:val="99"/>
    <w:rsid w:val="00610C7C"/>
    <w:rPr>
      <w:rFonts w:ascii="Arial" w:hAnsi="Arial"/>
      <w:sz w:val="24"/>
      <w:szCs w:val="24"/>
    </w:rPr>
  </w:style>
  <w:style w:type="paragraph" w:styleId="Footer">
    <w:name w:val="footer"/>
    <w:basedOn w:val="Normal"/>
    <w:link w:val="FooterChar"/>
    <w:rsid w:val="00610C7C"/>
    <w:pPr>
      <w:tabs>
        <w:tab w:val="center" w:pos="4513"/>
        <w:tab w:val="right" w:pos="9026"/>
      </w:tabs>
    </w:pPr>
  </w:style>
  <w:style w:type="character" w:customStyle="1" w:styleId="FooterChar">
    <w:name w:val="Footer Char"/>
    <w:basedOn w:val="DefaultParagraphFont"/>
    <w:link w:val="Footer"/>
    <w:rsid w:val="00610C7C"/>
    <w:rPr>
      <w:rFonts w:ascii="Arial" w:hAnsi="Arial"/>
      <w:sz w:val="24"/>
      <w:szCs w:val="24"/>
    </w:rPr>
  </w:style>
  <w:style w:type="character" w:styleId="PageNumber">
    <w:name w:val="page number"/>
    <w:basedOn w:val="DefaultParagraphFont"/>
    <w:uiPriority w:val="99"/>
    <w:unhideWhenUsed/>
    <w:rsid w:val="00610C7C"/>
    <w:rPr>
      <w:rFonts w:ascii="Times New Roman" w:hAnsi="Times New Roman" w:cs="Times New Roman" w:hint="default"/>
    </w:rPr>
  </w:style>
  <w:style w:type="paragraph" w:styleId="ListParagraph">
    <w:name w:val="List Paragraph"/>
    <w:basedOn w:val="Normal"/>
    <w:uiPriority w:val="34"/>
    <w:qFormat/>
    <w:rsid w:val="0061588C"/>
    <w:pPr>
      <w:ind w:left="720"/>
      <w:contextualSpacing/>
    </w:pPr>
    <w:rPr>
      <w:rFonts w:ascii="Times New Roman" w:hAnsi="Times New Roman"/>
    </w:rPr>
  </w:style>
  <w:style w:type="character" w:customStyle="1" w:styleId="Heading1Char">
    <w:name w:val="Heading 1 Char"/>
    <w:basedOn w:val="DefaultParagraphFont"/>
    <w:link w:val="Heading1"/>
    <w:uiPriority w:val="99"/>
    <w:rsid w:val="00CD6054"/>
    <w:rPr>
      <w:rFonts w:ascii="Arial" w:hAnsi="Arial" w:cs="Arial"/>
      <w:b/>
      <w:bCs/>
      <w:kern w:val="32"/>
      <w:sz w:val="28"/>
      <w:szCs w:val="32"/>
    </w:rPr>
  </w:style>
  <w:style w:type="character" w:customStyle="1" w:styleId="Heading2Char">
    <w:name w:val="Heading 2 Char"/>
    <w:basedOn w:val="DefaultParagraphFont"/>
    <w:link w:val="Heading2"/>
    <w:uiPriority w:val="99"/>
    <w:rsid w:val="002367C5"/>
    <w:rPr>
      <w:rFonts w:ascii="Arial" w:hAnsi="Arial" w:cs="Arial"/>
      <w:b/>
      <w:bCs/>
      <w:i/>
      <w:iCs/>
      <w:sz w:val="28"/>
      <w:szCs w:val="28"/>
    </w:rPr>
  </w:style>
  <w:style w:type="character" w:customStyle="1" w:styleId="Heading3Char">
    <w:name w:val="Heading 3 Char"/>
    <w:basedOn w:val="DefaultParagraphFont"/>
    <w:link w:val="Heading3"/>
    <w:uiPriority w:val="99"/>
    <w:rsid w:val="002367C5"/>
    <w:rPr>
      <w:rFonts w:ascii="Arial" w:hAnsi="Arial" w:cs="Arial"/>
      <w:b/>
      <w:bCs/>
      <w:sz w:val="26"/>
      <w:szCs w:val="26"/>
    </w:rPr>
  </w:style>
  <w:style w:type="character" w:customStyle="1" w:styleId="Heading4Char">
    <w:name w:val="Heading 4 Char"/>
    <w:basedOn w:val="DefaultParagraphFont"/>
    <w:link w:val="Heading4"/>
    <w:uiPriority w:val="99"/>
    <w:rsid w:val="002367C5"/>
    <w:rPr>
      <w:b/>
      <w:bCs/>
      <w:sz w:val="28"/>
      <w:szCs w:val="28"/>
    </w:rPr>
  </w:style>
  <w:style w:type="character" w:customStyle="1" w:styleId="Heading5Char">
    <w:name w:val="Heading 5 Char"/>
    <w:basedOn w:val="DefaultParagraphFont"/>
    <w:link w:val="Heading5"/>
    <w:uiPriority w:val="99"/>
    <w:rsid w:val="002367C5"/>
    <w:rPr>
      <w:b/>
      <w:bCs/>
      <w:i/>
      <w:iCs/>
      <w:sz w:val="26"/>
      <w:szCs w:val="26"/>
    </w:rPr>
  </w:style>
  <w:style w:type="character" w:customStyle="1" w:styleId="Heading6Char">
    <w:name w:val="Heading 6 Char"/>
    <w:basedOn w:val="DefaultParagraphFont"/>
    <w:link w:val="Heading6"/>
    <w:uiPriority w:val="99"/>
    <w:rsid w:val="002367C5"/>
    <w:rPr>
      <w:b/>
      <w:bCs/>
      <w:sz w:val="22"/>
      <w:szCs w:val="22"/>
    </w:rPr>
  </w:style>
  <w:style w:type="character" w:customStyle="1" w:styleId="Heading7Char">
    <w:name w:val="Heading 7 Char"/>
    <w:basedOn w:val="DefaultParagraphFont"/>
    <w:link w:val="Heading7"/>
    <w:uiPriority w:val="99"/>
    <w:rsid w:val="002367C5"/>
    <w:rPr>
      <w:sz w:val="24"/>
      <w:szCs w:val="24"/>
    </w:rPr>
  </w:style>
  <w:style w:type="character" w:customStyle="1" w:styleId="Heading8Char">
    <w:name w:val="Heading 8 Char"/>
    <w:basedOn w:val="DefaultParagraphFont"/>
    <w:link w:val="Heading8"/>
    <w:uiPriority w:val="99"/>
    <w:rsid w:val="002367C5"/>
    <w:rPr>
      <w:i/>
      <w:iCs/>
      <w:sz w:val="24"/>
      <w:szCs w:val="24"/>
    </w:rPr>
  </w:style>
  <w:style w:type="character" w:customStyle="1" w:styleId="Heading9Char">
    <w:name w:val="Heading 9 Char"/>
    <w:basedOn w:val="DefaultParagraphFont"/>
    <w:link w:val="Heading9"/>
    <w:uiPriority w:val="99"/>
    <w:rsid w:val="002367C5"/>
    <w:rPr>
      <w:rFonts w:ascii="Arial" w:hAnsi="Arial" w:cs="Arial"/>
      <w:sz w:val="22"/>
      <w:szCs w:val="22"/>
    </w:rPr>
  </w:style>
  <w:style w:type="paragraph" w:styleId="BalloonText">
    <w:name w:val="Balloon Text"/>
    <w:basedOn w:val="Normal"/>
    <w:link w:val="BalloonTextChar"/>
    <w:rsid w:val="0062153B"/>
    <w:rPr>
      <w:rFonts w:ascii="Tahoma" w:hAnsi="Tahoma" w:cs="Tahoma"/>
      <w:sz w:val="16"/>
      <w:szCs w:val="16"/>
    </w:rPr>
  </w:style>
  <w:style w:type="character" w:customStyle="1" w:styleId="BalloonTextChar">
    <w:name w:val="Balloon Text Char"/>
    <w:basedOn w:val="DefaultParagraphFont"/>
    <w:link w:val="BalloonText"/>
    <w:rsid w:val="0062153B"/>
    <w:rPr>
      <w:rFonts w:ascii="Tahoma" w:hAnsi="Tahoma" w:cs="Tahoma"/>
      <w:sz w:val="16"/>
      <w:szCs w:val="16"/>
    </w:rPr>
  </w:style>
  <w:style w:type="paragraph" w:customStyle="1" w:styleId="Default">
    <w:name w:val="Default"/>
    <w:rsid w:val="00FF20E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03208"/>
    <w:rPr>
      <w:sz w:val="16"/>
      <w:szCs w:val="16"/>
    </w:rPr>
  </w:style>
  <w:style w:type="paragraph" w:styleId="CommentText">
    <w:name w:val="annotation text"/>
    <w:basedOn w:val="Normal"/>
    <w:link w:val="CommentTextChar"/>
    <w:rsid w:val="00203208"/>
    <w:rPr>
      <w:sz w:val="20"/>
      <w:szCs w:val="20"/>
    </w:rPr>
  </w:style>
  <w:style w:type="character" w:customStyle="1" w:styleId="CommentTextChar">
    <w:name w:val="Comment Text Char"/>
    <w:basedOn w:val="DefaultParagraphFont"/>
    <w:link w:val="CommentText"/>
    <w:rsid w:val="00203208"/>
    <w:rPr>
      <w:rFonts w:ascii="Arial" w:hAnsi="Arial"/>
    </w:rPr>
  </w:style>
  <w:style w:type="paragraph" w:styleId="CommentSubject">
    <w:name w:val="annotation subject"/>
    <w:basedOn w:val="CommentText"/>
    <w:next w:val="CommentText"/>
    <w:link w:val="CommentSubjectChar"/>
    <w:rsid w:val="00203208"/>
    <w:rPr>
      <w:b/>
      <w:bCs/>
    </w:rPr>
  </w:style>
  <w:style w:type="character" w:customStyle="1" w:styleId="CommentSubjectChar">
    <w:name w:val="Comment Subject Char"/>
    <w:basedOn w:val="CommentTextChar"/>
    <w:link w:val="CommentSubject"/>
    <w:rsid w:val="00203208"/>
    <w:rPr>
      <w:rFonts w:ascii="Arial" w:hAnsi="Arial"/>
      <w:b/>
      <w:bCs/>
    </w:rPr>
  </w:style>
  <w:style w:type="paragraph" w:styleId="BodyTextIndent3">
    <w:name w:val="Body Text Indent 3"/>
    <w:basedOn w:val="Normal"/>
    <w:link w:val="BodyTextIndent3Char"/>
    <w:rsid w:val="00757519"/>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757519"/>
    <w:rPr>
      <w:rFonts w:ascii="Gill Sans" w:hAnsi="Gill Sans"/>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091">
      <w:bodyDiv w:val="1"/>
      <w:marLeft w:val="0"/>
      <w:marRight w:val="0"/>
      <w:marTop w:val="0"/>
      <w:marBottom w:val="0"/>
      <w:divBdr>
        <w:top w:val="none" w:sz="0" w:space="0" w:color="auto"/>
        <w:left w:val="none" w:sz="0" w:space="0" w:color="auto"/>
        <w:bottom w:val="none" w:sz="0" w:space="0" w:color="auto"/>
        <w:right w:val="none" w:sz="0" w:space="0" w:color="auto"/>
      </w:divBdr>
    </w:div>
    <w:div w:id="451365617">
      <w:bodyDiv w:val="1"/>
      <w:marLeft w:val="0"/>
      <w:marRight w:val="0"/>
      <w:marTop w:val="0"/>
      <w:marBottom w:val="0"/>
      <w:divBdr>
        <w:top w:val="none" w:sz="0" w:space="0" w:color="auto"/>
        <w:left w:val="none" w:sz="0" w:space="0" w:color="auto"/>
        <w:bottom w:val="none" w:sz="0" w:space="0" w:color="auto"/>
        <w:right w:val="none" w:sz="0" w:space="0" w:color="auto"/>
      </w:divBdr>
    </w:div>
    <w:div w:id="625698656">
      <w:bodyDiv w:val="1"/>
      <w:marLeft w:val="0"/>
      <w:marRight w:val="0"/>
      <w:marTop w:val="0"/>
      <w:marBottom w:val="0"/>
      <w:divBdr>
        <w:top w:val="none" w:sz="0" w:space="0" w:color="auto"/>
        <w:left w:val="none" w:sz="0" w:space="0" w:color="auto"/>
        <w:bottom w:val="none" w:sz="0" w:space="0" w:color="auto"/>
        <w:right w:val="none" w:sz="0" w:space="0" w:color="auto"/>
      </w:divBdr>
    </w:div>
    <w:div w:id="848060583">
      <w:bodyDiv w:val="1"/>
      <w:marLeft w:val="0"/>
      <w:marRight w:val="0"/>
      <w:marTop w:val="0"/>
      <w:marBottom w:val="0"/>
      <w:divBdr>
        <w:top w:val="none" w:sz="0" w:space="0" w:color="auto"/>
        <w:left w:val="none" w:sz="0" w:space="0" w:color="auto"/>
        <w:bottom w:val="none" w:sz="0" w:space="0" w:color="auto"/>
        <w:right w:val="none" w:sz="0" w:space="0" w:color="auto"/>
      </w:divBdr>
    </w:div>
    <w:div w:id="1311713382">
      <w:bodyDiv w:val="1"/>
      <w:marLeft w:val="0"/>
      <w:marRight w:val="0"/>
      <w:marTop w:val="0"/>
      <w:marBottom w:val="0"/>
      <w:divBdr>
        <w:top w:val="none" w:sz="0" w:space="0" w:color="auto"/>
        <w:left w:val="none" w:sz="0" w:space="0" w:color="auto"/>
        <w:bottom w:val="none" w:sz="0" w:space="0" w:color="auto"/>
        <w:right w:val="none" w:sz="0" w:space="0" w:color="auto"/>
      </w:divBdr>
    </w:div>
    <w:div w:id="1998145642">
      <w:bodyDiv w:val="1"/>
      <w:marLeft w:val="0"/>
      <w:marRight w:val="0"/>
      <w:marTop w:val="0"/>
      <w:marBottom w:val="0"/>
      <w:divBdr>
        <w:top w:val="none" w:sz="0" w:space="0" w:color="auto"/>
        <w:left w:val="none" w:sz="0" w:space="0" w:color="auto"/>
        <w:bottom w:val="none" w:sz="0" w:space="0" w:color="auto"/>
        <w:right w:val="none" w:sz="0" w:space="0" w:color="auto"/>
      </w:divBdr>
    </w:div>
    <w:div w:id="2066829125">
      <w:bodyDiv w:val="1"/>
      <w:marLeft w:val="0"/>
      <w:marRight w:val="0"/>
      <w:marTop w:val="0"/>
      <w:marBottom w:val="0"/>
      <w:divBdr>
        <w:top w:val="none" w:sz="0" w:space="0" w:color="auto"/>
        <w:left w:val="none" w:sz="0" w:space="0" w:color="auto"/>
        <w:bottom w:val="none" w:sz="0" w:space="0" w:color="auto"/>
        <w:right w:val="none" w:sz="0" w:space="0" w:color="auto"/>
      </w:divBdr>
    </w:div>
    <w:div w:id="20870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D180.1CC6DC5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7998-5D01-449A-A83A-7BFE0499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Confidentiality Policy</vt:lpstr>
    </vt:vector>
  </TitlesOfParts>
  <Company>Leonard Cheshire Disability</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dc:title>
  <dc:creator>Quality Improvement</dc:creator>
  <cp:lastModifiedBy>Shelley Talbot</cp:lastModifiedBy>
  <cp:revision>2</cp:revision>
  <cp:lastPrinted>2018-04-05T12:34:00Z</cp:lastPrinted>
  <dcterms:created xsi:type="dcterms:W3CDTF">2019-11-11T09:35:00Z</dcterms:created>
  <dcterms:modified xsi:type="dcterms:W3CDTF">2019-11-11T09:35:00Z</dcterms:modified>
</cp:coreProperties>
</file>